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КОНТРОЛЬНО-РЕВИЗИОННАЯ КОМИССИЯ</w:t>
      </w:r>
      <w:r w:rsidRPr="004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0DA6" w:rsidRPr="004F0DA6" w:rsidRDefault="002C2329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ОБРАЗОВАНИЯ «Т</w:t>
      </w:r>
      <w:r w:rsidR="004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УРОЧАКСКИЙ РАЙОН»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</w:t>
      </w:r>
    </w:p>
    <w:p w:rsidR="004F0DA6" w:rsidRPr="004F0DA6" w:rsidRDefault="00065C20" w:rsidP="004F0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0т  29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F84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4F0DA6"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г.                                                                   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  № 8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 ЭКСПЕРТНОЕ ЗАКЛЮЧЕНИЕ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проекту решения Совета  депутатов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04E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7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Озеро-</w:t>
      </w:r>
      <w:proofErr w:type="spellStart"/>
      <w:r w:rsidR="007A57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Куре</w:t>
      </w:r>
      <w:r w:rsidR="00BB4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bookmarkStart w:id="0" w:name="_GoBack"/>
      <w:bookmarkEnd w:id="0"/>
      <w:r w:rsidR="007A57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вское</w:t>
      </w:r>
      <w:proofErr w:type="spellEnd"/>
      <w:r w:rsidR="007A57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«О бюджете муниципального</w:t>
      </w:r>
      <w:r w:rsidR="007A5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  Озеро-</w:t>
      </w:r>
      <w:proofErr w:type="spellStart"/>
      <w:r w:rsidR="007A5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Куреевское</w:t>
      </w:r>
      <w:proofErr w:type="spellEnd"/>
      <w:r w:rsidR="007A5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на 2016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604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4F0DA6" w:rsidRPr="004F0DA6" w:rsidTr="004F0D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DA6" w:rsidRPr="004F0DA6" w:rsidRDefault="004F0DA6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D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  </w:t>
            </w:r>
          </w:p>
        </w:tc>
      </w:tr>
    </w:tbl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proofErr w:type="gramStart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заключение Контрольно-ревизионной комиссии  муниципального образования «</w:t>
      </w:r>
      <w:proofErr w:type="spellStart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 решения  Совета  депутатов 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тверждении бюджета  муниципальног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Озеро-</w:t>
      </w:r>
      <w:proofErr w:type="spellStart"/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Куреевское</w:t>
      </w:r>
      <w:proofErr w:type="spellEnd"/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поселение</w:t>
      </w:r>
      <w:r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в соответствии со статьей 157 Бюджетного кодекса Российской Федерации и  соглашения о передачи части полномочий по осуществлению внешнего муниципал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</w:t>
      </w:r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финансового контроля от 27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2013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F0DA6" w:rsidRPr="004F0DA6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Совет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а  депутатов Озеро-</w:t>
      </w:r>
      <w:proofErr w:type="spellStart"/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«Об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бюджета  муниципального образования </w:t>
      </w:r>
      <w:proofErr w:type="spellStart"/>
      <w:r w:rsidR="00C971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Тондошенское</w:t>
      </w:r>
      <w:proofErr w:type="spellEnd"/>
      <w:r w:rsidR="00CE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 бюджета сельского поселения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приложены все документы и материалы, представление которых одновременно с проектом бюджета сельского поселения предусмотрено статьей 184.2 Бюджетного кодекса</w:t>
      </w:r>
      <w:r w:rsidR="001B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статьей</w:t>
      </w:r>
      <w:r w:rsidRPr="004F0DA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бюджетном процессе  в   сельском поселении.</w:t>
      </w:r>
      <w:proofErr w:type="gramEnd"/>
    </w:p>
    <w:p w:rsidR="004F0DA6" w:rsidRPr="004F0DA6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бюджета сельского поселения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Федерации.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Рассмотрев направленный Советом  депутатов сельского поселения  проект бюджета сельского поселения, пояснительную записку и справочный материал к проекту бюджета, а также другие документы, представленные о</w:t>
      </w:r>
      <w:r w:rsidR="00A46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дновременно с проектом бюджета,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льно-ревизионная комиссия муниципального образования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99245E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(далее КРК МОТР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отмечает следующее:</w:t>
      </w:r>
    </w:p>
    <w:p w:rsidR="009A1639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Состав основных показателей и характеристик (</w:t>
      </w:r>
      <w:r w:rsidR="00CE7F9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9710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A5782">
        <w:rPr>
          <w:rFonts w:ascii="Times New Roman" w:hAnsi="Times New Roman" w:cs="Times New Roman"/>
          <w:sz w:val="26"/>
          <w:szCs w:val="26"/>
          <w:lang w:eastAsia="ru-RU"/>
        </w:rPr>
        <w:t>иложений) бюджета Озеро-</w:t>
      </w:r>
      <w:proofErr w:type="spellStart"/>
      <w:r w:rsidR="007A5782">
        <w:rPr>
          <w:rFonts w:ascii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7A578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сельского пос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еления (далее поселения) на 2016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г.,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в целом соответствуют статьям 184.1 и 184.2 Бюджетного кодекса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Российской Федерации и  Положения о бюджетном процессе в муниципальном образовании.</w:t>
      </w:r>
      <w:proofErr w:type="gramEnd"/>
    </w:p>
    <w:p w:rsidR="009A1639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184.2 Бюджетного кодекса Российской Федерации одновременно с проектом бюджета  представлены:</w:t>
      </w:r>
    </w:p>
    <w:p w:rsidR="004F0DA6" w:rsidRPr="009A1639" w:rsidRDefault="004F0DA6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прогноз  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и предварительные итоги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социально – экономичес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кого развития  поселения на 2016 - 2018годы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F0DA6" w:rsidRPr="009A1639" w:rsidRDefault="00E556E2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пояснительная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записка</w:t>
      </w:r>
      <w:r w:rsidR="007A5782">
        <w:rPr>
          <w:rFonts w:ascii="Times New Roman" w:hAnsi="Times New Roman" w:cs="Times New Roman"/>
          <w:sz w:val="26"/>
          <w:szCs w:val="26"/>
          <w:lang w:eastAsia="ru-RU"/>
        </w:rPr>
        <w:t xml:space="preserve"> к бюджету  Озеро-</w:t>
      </w:r>
      <w:proofErr w:type="spellStart"/>
      <w:r w:rsidR="007A5782">
        <w:rPr>
          <w:rFonts w:ascii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0C01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   на 2016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</w:p>
    <w:p w:rsidR="00604E07" w:rsidRPr="009A1639" w:rsidRDefault="00604E07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-основные направления бюджетной политики муниципальног</w:t>
      </w:r>
      <w:r w:rsidR="007A5782">
        <w:rPr>
          <w:rFonts w:ascii="Times New Roman" w:hAnsi="Times New Roman" w:cs="Times New Roman"/>
          <w:sz w:val="26"/>
          <w:szCs w:val="26"/>
          <w:lang w:eastAsia="ru-RU"/>
        </w:rPr>
        <w:t>о образования Озеро-</w:t>
      </w:r>
      <w:proofErr w:type="spellStart"/>
      <w:r w:rsidR="007A5782">
        <w:rPr>
          <w:rFonts w:ascii="Times New Roman" w:hAnsi="Times New Roman" w:cs="Times New Roman"/>
          <w:sz w:val="26"/>
          <w:szCs w:val="26"/>
          <w:lang w:eastAsia="ru-RU"/>
        </w:rPr>
        <w:t>Куреевское</w:t>
      </w:r>
      <w:proofErr w:type="spellEnd"/>
      <w:r w:rsidR="00CE7F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1639">
        <w:rPr>
          <w:rFonts w:ascii="Times New Roman" w:hAnsi="Times New Roman" w:cs="Times New Roman"/>
          <w:sz w:val="26"/>
          <w:szCs w:val="26"/>
          <w:lang w:eastAsia="ru-RU"/>
        </w:rPr>
        <w:t>сельское поселение на 2016-2018 годы;</w:t>
      </w:r>
    </w:p>
    <w:p w:rsidR="004F0DA6" w:rsidRPr="009A1639" w:rsidRDefault="00E556E2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ожидаемое  испол</w:t>
      </w:r>
      <w:r>
        <w:rPr>
          <w:rFonts w:ascii="Times New Roman" w:hAnsi="Times New Roman" w:cs="Times New Roman"/>
          <w:sz w:val="26"/>
          <w:szCs w:val="26"/>
          <w:lang w:eastAsia="ru-RU"/>
        </w:rPr>
        <w:t>нение</w:t>
      </w:r>
      <w:r w:rsidR="0099245E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  поселения за 2015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год;</w:t>
      </w:r>
    </w:p>
    <w:p w:rsidR="00604E07" w:rsidRPr="009A1639" w:rsidRDefault="00604E07" w:rsidP="009A16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1639">
        <w:rPr>
          <w:rFonts w:ascii="Times New Roman" w:hAnsi="Times New Roman" w:cs="Times New Roman"/>
          <w:sz w:val="26"/>
          <w:szCs w:val="26"/>
          <w:lang w:eastAsia="ru-RU"/>
        </w:rPr>
        <w:t>-перечень главных администраторов доходов бюджета муниципальног</w:t>
      </w:r>
      <w:r w:rsidR="007A5782">
        <w:rPr>
          <w:rFonts w:ascii="Times New Roman" w:hAnsi="Times New Roman" w:cs="Times New Roman"/>
          <w:sz w:val="26"/>
          <w:szCs w:val="26"/>
          <w:lang w:eastAsia="ru-RU"/>
        </w:rPr>
        <w:t>о образования Озеро-</w:t>
      </w:r>
      <w:proofErr w:type="spellStart"/>
      <w:r w:rsidR="007A5782">
        <w:rPr>
          <w:rFonts w:ascii="Times New Roman" w:hAnsi="Times New Roman" w:cs="Times New Roman"/>
          <w:sz w:val="26"/>
          <w:szCs w:val="26"/>
          <w:lang w:eastAsia="ru-RU"/>
        </w:rPr>
        <w:t>Куреевское</w:t>
      </w:r>
      <w:proofErr w:type="spellEnd"/>
      <w:r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поселение;</w:t>
      </w:r>
    </w:p>
    <w:p w:rsidR="004F0DA6" w:rsidRPr="009A1639" w:rsidRDefault="009A1639" w:rsidP="009A1639">
      <w:pPr>
        <w:pStyle w:val="a5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финансиро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>ва</w:t>
      </w:r>
      <w:r w:rsidR="00E556E2">
        <w:rPr>
          <w:rFonts w:ascii="Times New Roman" w:hAnsi="Times New Roman" w:cs="Times New Roman"/>
          <w:sz w:val="26"/>
          <w:szCs w:val="26"/>
          <w:lang w:eastAsia="ru-RU"/>
        </w:rPr>
        <w:t>ния дефицита местного бюджета </w:t>
      </w:r>
      <w:r w:rsidR="00604E07" w:rsidRPr="009A1639">
        <w:rPr>
          <w:rFonts w:ascii="Times New Roman" w:hAnsi="Times New Roman" w:cs="Times New Roman"/>
          <w:sz w:val="26"/>
          <w:szCs w:val="26"/>
          <w:lang w:eastAsia="ru-RU"/>
        </w:rPr>
        <w:t>на 2016</w:t>
      </w:r>
      <w:r w:rsidR="001B1C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9A1639">
        <w:rPr>
          <w:rFonts w:ascii="Times New Roman" w:hAnsi="Times New Roman" w:cs="Times New Roman"/>
          <w:sz w:val="26"/>
          <w:szCs w:val="26"/>
          <w:lang w:eastAsia="ru-RU"/>
        </w:rPr>
        <w:t>год;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1.1.Соблюдение требований действующего бюджетного законодательства при формировании и представлении проекта бюджета</w:t>
      </w:r>
      <w:r w:rsidR="002C23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екте бюджета  поселения  на 2016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содержатся основные характеристики бюджета  поселения (общий объем доходов и расходов), установлены перечни главных</w:t>
      </w:r>
      <w:r w:rsidRPr="004F0DA6">
        <w:rPr>
          <w:rFonts w:ascii="Times New Roman" w:eastAsia="Times New Roman" w:hAnsi="Times New Roman" w:cs="Times New Roman"/>
          <w:color w:val="00FFFF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администраторов доходов и общий объем бюджетных ассигнований, направляемых на исполнение публичных нормативных обязательств, верхний предел муниципального долга.  </w:t>
      </w:r>
    </w:p>
    <w:p w:rsidR="004F0DA6" w:rsidRPr="004F0DA6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  параметры проекта бюджета  на 20</w:t>
      </w:r>
      <w:r w:rsidR="007A5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год Озеро-</w:t>
      </w:r>
      <w:proofErr w:type="spellStart"/>
      <w:r w:rsidR="007A57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Куреевского</w:t>
      </w:r>
      <w:proofErr w:type="spellEnd"/>
      <w:r w:rsidR="000C01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2C23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F0DA6" w:rsidRPr="004F0DA6" w:rsidRDefault="004F0DA6" w:rsidP="001556E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Объем  доходо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в   бюджета    поселения на 20</w:t>
      </w:r>
      <w:r w:rsidR="000C01BE">
        <w:rPr>
          <w:rFonts w:ascii="Times New Roman" w:eastAsia="Times New Roman" w:hAnsi="Times New Roman" w:cs="Times New Roman"/>
          <w:sz w:val="26"/>
          <w:szCs w:val="26"/>
          <w:lang w:eastAsia="ru-RU"/>
        </w:rPr>
        <w:t>16 г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планируется в сумме 1618,4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  налоговые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неналоговые  доходы – 385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1556ED" w:rsidRDefault="004F0DA6" w:rsidP="001556ED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Объем ра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 бюджета поселения на 2016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</w:t>
      </w:r>
      <w:r w:rsidR="00CE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ланируется в сумме </w:t>
      </w:r>
      <w:r w:rsidR="007A5782">
        <w:rPr>
          <w:rFonts w:ascii="Times New Roman" w:eastAsia="Times New Roman" w:hAnsi="Times New Roman" w:cs="Times New Roman"/>
          <w:sz w:val="26"/>
          <w:szCs w:val="26"/>
          <w:lang w:eastAsia="ru-RU"/>
        </w:rPr>
        <w:t>1618,4</w:t>
      </w:r>
      <w:r w:rsidR="00604E07" w:rsidRPr="00604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DA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1556ED" w:rsidRPr="001556ED" w:rsidRDefault="001556ED" w:rsidP="001556ED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 на 2016 год прогнозируется  </w:t>
      </w:r>
      <w:proofErr w:type="gramStart"/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бездефицитным</w:t>
      </w:r>
      <w:proofErr w:type="gramEnd"/>
      <w:r w:rsidRPr="001556E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556ED" w:rsidRDefault="001556ED" w:rsidP="001556ED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604E07" w:rsidRPr="00604E07" w:rsidRDefault="00604E07" w:rsidP="001556ED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Основные парам</w:t>
      </w:r>
      <w:r w:rsidR="00C971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етры бюджета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32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C9710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сельского поселения в 2015 – 2016 гг. представлены в таблице 1.</w:t>
      </w:r>
    </w:p>
    <w:p w:rsidR="00604E07" w:rsidRPr="00604E07" w:rsidRDefault="00604E07" w:rsidP="00604E07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604E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04E07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E0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14" w:type="dxa"/>
            <w:shd w:val="clear" w:color="auto" w:fill="auto"/>
          </w:tcPr>
          <w:p w:rsidR="00604E07" w:rsidRPr="006304BB" w:rsidRDefault="00604E07" w:rsidP="002C232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Ожидаемое исполнение бюджета 2015г.</w:t>
            </w:r>
          </w:p>
        </w:tc>
        <w:tc>
          <w:tcPr>
            <w:tcW w:w="1914" w:type="dxa"/>
            <w:shd w:val="clear" w:color="auto" w:fill="auto"/>
          </w:tcPr>
          <w:p w:rsidR="00604E07" w:rsidRPr="006304BB" w:rsidRDefault="00604E07" w:rsidP="002C232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бюджета на 2016г.</w:t>
            </w:r>
          </w:p>
        </w:tc>
        <w:tc>
          <w:tcPr>
            <w:tcW w:w="1914" w:type="dxa"/>
            <w:shd w:val="clear" w:color="auto" w:fill="auto"/>
          </w:tcPr>
          <w:p w:rsidR="00604E07" w:rsidRPr="006304BB" w:rsidRDefault="00604E07" w:rsidP="002C232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2016г. к 2015 г. в </w:t>
            </w:r>
            <w:proofErr w:type="spellStart"/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604E07" w:rsidRPr="006304BB" w:rsidRDefault="00604E07" w:rsidP="002C232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2016г. к 2015 г. в %</w:t>
            </w:r>
          </w:p>
        </w:tc>
      </w:tr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304BB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2C23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2C23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BD15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304BB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2C23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2C23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7A5782" w:rsidP="00604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604E07" w:rsidRPr="00CE7F91" w:rsidRDefault="002C2329" w:rsidP="00C9710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A57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04E07" w:rsidRPr="00604E07" w:rsidTr="00A80D8B">
        <w:tc>
          <w:tcPr>
            <w:tcW w:w="1914" w:type="dxa"/>
            <w:shd w:val="clear" w:color="auto" w:fill="auto"/>
          </w:tcPr>
          <w:p w:rsidR="00604E07" w:rsidRPr="006304BB" w:rsidRDefault="00604E07" w:rsidP="00604E0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r w:rsidR="00383FC9"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  <w:r w:rsid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</w:t>
            </w:r>
            <w:r w:rsidR="00383FC9"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0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фицит (+)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BD1506" w:rsidRPr="00383FC9" w:rsidRDefault="007A5782" w:rsidP="002C23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604E07" w:rsidRPr="00383FC9" w:rsidRDefault="00383FC9" w:rsidP="002C23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604E07" w:rsidRPr="00383FC9" w:rsidRDefault="00604E07" w:rsidP="002C23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83FC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14" w:type="dxa"/>
            <w:shd w:val="clear" w:color="auto" w:fill="auto"/>
          </w:tcPr>
          <w:p w:rsidR="00604E07" w:rsidRPr="00F474E4" w:rsidRDefault="00604E07" w:rsidP="002C23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474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BA1180" w:rsidRDefault="00BA1180" w:rsidP="001272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4BB" w:rsidRDefault="006304BB" w:rsidP="001272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DA6" w:rsidRPr="00F26E73" w:rsidRDefault="004F0DA6" w:rsidP="00F26E73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6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Доходы проекта бюд</w:t>
      </w:r>
      <w:r w:rsidR="001556ED" w:rsidRPr="00F26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жета </w:t>
      </w:r>
      <w:r w:rsidR="00630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Озеро-</w:t>
      </w:r>
      <w:proofErr w:type="spellStart"/>
      <w:r w:rsidR="00630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Куреевского</w:t>
      </w:r>
      <w:proofErr w:type="spellEnd"/>
      <w:r w:rsidR="006304BB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556ED" w:rsidRPr="00F26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на 2016 </w:t>
      </w:r>
      <w:r w:rsidRPr="00F26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  <w:r w:rsidR="00F26E73" w:rsidRPr="00F26E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26E73" w:rsidRDefault="00F26E73" w:rsidP="00F26E7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Справочно: </w:t>
      </w:r>
    </w:p>
    <w:p w:rsidR="00F26E73" w:rsidRDefault="00F26E73" w:rsidP="00F26E7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 зачисления налога на доходы физических лиц в бюджет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  на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-   2%;</w:t>
      </w:r>
    </w:p>
    <w:p w:rsidR="00F26E73" w:rsidRPr="00F27881" w:rsidRDefault="00F26E73" w:rsidP="00F26E7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 зачисления земельного налога в бюджет поселения – 100%.   </w:t>
      </w:r>
    </w:p>
    <w:p w:rsidR="004F0DA6" w:rsidRPr="00197003" w:rsidRDefault="004F0DA6" w:rsidP="00F26E7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</w:t>
      </w:r>
      <w:r w:rsidR="005F72E6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  доходной части бюджета   </w:t>
      </w:r>
      <w:r w:rsidR="001556ED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на 2016 год в сравнении с </w:t>
      </w:r>
      <w:r w:rsidR="0038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первоначальным бюджетом </w:t>
      </w:r>
      <w:r w:rsidR="001556ED"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38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предс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тавлена в Таблице №</w:t>
      </w:r>
      <w:r w:rsidR="00383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56ED" w:rsidRPr="00F26E73" w:rsidRDefault="001556ED" w:rsidP="001556ED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26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2C2329"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 w:rsidR="00F26E73"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196A95"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Start"/>
      <w:r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F26E73" w:rsidRPr="00F26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bottomFromText="155" w:vertAnchor="text"/>
        <w:tblW w:w="948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843"/>
        <w:gridCol w:w="1559"/>
        <w:gridCol w:w="2532"/>
        <w:gridCol w:w="20"/>
      </w:tblGrid>
      <w:tr w:rsidR="007A5782" w:rsidRPr="00197003" w:rsidTr="007A5782">
        <w:trPr>
          <w:trHeight w:val="1115"/>
          <w:tblCellSpacing w:w="0" w:type="dxa"/>
        </w:trPr>
        <w:tc>
          <w:tcPr>
            <w:tcW w:w="3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2C2329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2C2329" w:rsidRDefault="007A5782" w:rsidP="001556ED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Ожидаемое    исполнение    за 2015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2C2329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 на 2016г.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2C2329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3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в общем доходе</w:t>
            </w:r>
            <w:proofErr w:type="gramStart"/>
            <w:r w:rsidRPr="002C23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287"/>
          <w:tblCellSpacing w:w="0" w:type="dxa"/>
        </w:trPr>
        <w:tc>
          <w:tcPr>
            <w:tcW w:w="3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519"/>
          <w:tblCellSpacing w:w="0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 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525DE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D767B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385,0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D767B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260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412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456"/>
          <w:tblCellSpacing w:w="0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782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A5782" w:rsidRPr="00197003" w:rsidTr="007A5782">
        <w:trPr>
          <w:trHeight w:val="85"/>
          <w:tblCellSpacing w:w="0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 w:line="8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 на имущество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7A5782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263,0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580713">
            <w:pPr>
              <w:spacing w:before="100" w:beforeAutospacing="1" w:line="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spacing w:line="85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213"/>
          <w:tblCellSpacing w:w="0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Госпошлина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7A5782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580713">
            <w:pPr>
              <w:spacing w:before="100" w:beforeAutospacing="1" w:line="21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spacing w:line="21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184"/>
          <w:tblCellSpacing w:w="0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0F5E98" w:rsidRDefault="007A5782" w:rsidP="004F0DA6">
            <w:pPr>
              <w:spacing w:before="100" w:beforeAutospacing="1" w:line="18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E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4F0DA6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1C6D16" w:rsidRDefault="00580713" w:rsidP="00580713">
            <w:pPr>
              <w:spacing w:before="100" w:beforeAutospacing="1" w:line="18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spacing w:line="18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396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580713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580713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580713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A5782" w:rsidRPr="00197003" w:rsidTr="007A5782">
        <w:trPr>
          <w:trHeight w:val="396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525DE" w:rsidRDefault="007A5782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A12B77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BE4BCB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580713" w:rsidRPr="00197003" w:rsidTr="007A5782">
        <w:trPr>
          <w:trHeight w:val="396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713" w:rsidRPr="00197003" w:rsidRDefault="00580713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713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713" w:rsidRPr="00A12B77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713" w:rsidRPr="00BE4BCB" w:rsidRDefault="00580713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713" w:rsidRPr="00197003" w:rsidRDefault="00580713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A5782" w:rsidRPr="00197003" w:rsidTr="007A5782">
        <w:trPr>
          <w:trHeight w:val="284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en-US"/>
              </w:rPr>
              <w:t>Безвозмездные поступления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BF0541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BF0541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1233,4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BF0541" w:rsidRDefault="001C6D16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223"/>
          <w:tblCellSpacing w:w="0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 w:line="22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Дотации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525DE" w:rsidRDefault="00580713" w:rsidP="004F0DA6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A12B77" w:rsidRDefault="00580713" w:rsidP="00A12B77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895,2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BE4BCB" w:rsidRDefault="001C6D16" w:rsidP="00580713">
            <w:pPr>
              <w:spacing w:before="100" w:beforeAutospacing="1" w:line="22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spacing w:line="223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260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Субвенции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525DE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A12B77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BE4BCB" w:rsidRDefault="001C6D16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7A5782" w:rsidRPr="00197003" w:rsidTr="007A5782">
        <w:trPr>
          <w:trHeight w:val="284"/>
          <w:tblCellSpacing w:w="0" w:type="dxa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82" w:rsidRPr="00197003" w:rsidRDefault="007A5782" w:rsidP="004F0DA6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525DE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D767B" w:rsidRDefault="00580713" w:rsidP="004F0DA6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5782" w:rsidRPr="003D767B" w:rsidRDefault="001C6D16" w:rsidP="00580713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F26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782" w:rsidRPr="00197003" w:rsidRDefault="007A5782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970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</w:tbl>
    <w:p w:rsidR="004F0DA6" w:rsidRPr="00197003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        </w:t>
      </w:r>
    </w:p>
    <w:p w:rsidR="004F0DA6" w:rsidRPr="00942EE4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 </w:t>
      </w:r>
      <w:r w:rsidR="00F26E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свидетельствуют</w:t>
      </w:r>
      <w:r w:rsidR="008E3C23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7309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приведенные в Таблице</w:t>
      </w:r>
      <w:r w:rsidR="00F26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A1180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  налоговых доходов</w:t>
      </w:r>
      <w:r w:rsidR="001C6D16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прогнозируется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уровне ожидаемого </w:t>
      </w:r>
      <w:r w:rsidR="001C6D16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сполнения</w:t>
      </w:r>
      <w:r w:rsidR="001C6D16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текущий </w:t>
      </w:r>
      <w:r w:rsidR="00127201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</w:t>
      </w:r>
      <w:r w:rsidR="00802722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802722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0EF" w:rsidRP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1618,4 </w:t>
      </w:r>
      <w:proofErr w:type="spellStart"/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налоговых д</w:t>
      </w:r>
      <w:r w:rsid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оходах в 2016г.  составляет 20,4</w:t>
      </w:r>
      <w:r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% ко вс</w:t>
      </w:r>
      <w:r w:rsidR="00802722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планируемым доходам</w:t>
      </w:r>
      <w:r w:rsid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        </w:t>
      </w:r>
    </w:p>
    <w:p w:rsidR="007B634A" w:rsidRDefault="007B634A" w:rsidP="007B6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E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Налоговые доходы</w:t>
      </w:r>
      <w:r w:rsidR="002B1E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налоговых доходов бюджета  сельского поселения на 2016 год осуществлялось на основе ожидаемых итогов социально-экономическо</w:t>
      </w:r>
      <w:r w:rsidR="005807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развития  Озеро-</w:t>
      </w:r>
      <w:proofErr w:type="spellStart"/>
      <w:r w:rsidR="005807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основных направлениях налоговой и бюджетной политики, данных о базе налогообложения по отдельным источникам доходов и оценки поступлений доходов в 2015 году.</w:t>
      </w:r>
    </w:p>
    <w:p w:rsidR="004F0DA6" w:rsidRPr="00942EE4" w:rsidRDefault="004F0DA6" w:rsidP="007B6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по </w:t>
      </w:r>
      <w:r w:rsidRPr="00942EE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налогу на доходы физических лиц</w:t>
      </w:r>
      <w:r w:rsidR="00580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планируются в сумме 18</w:t>
      </w:r>
      <w:r w:rsid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или  5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структуре</w:t>
      </w:r>
      <w:r w:rsidR="00942EE4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0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доходов бюджета.  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налога на доходы физических лиц произведен в соответствии с положениями главы 23 части второй Налогового кодекса РФ, исходя из о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ценки поступления налога в 2015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и про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гноза фонда оплаты труда на 2016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Норматив зачисления налога на доходы физических лиц в </w:t>
      </w:r>
      <w:proofErr w:type="gramStart"/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002F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090"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  на 2016</w:t>
      </w:r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</w:t>
      </w:r>
      <w:proofErr w:type="gramEnd"/>
      <w:r w:rsidRPr="0094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2%. </w:t>
      </w:r>
    </w:p>
    <w:p w:rsidR="000D0090" w:rsidRPr="00F27881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источником налоговых поступлений являются</w:t>
      </w:r>
      <w:r w:rsidRPr="00F278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по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налогу </w:t>
      </w:r>
      <w:r w:rsidR="008027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имущество (земельный налог)</w:t>
      </w:r>
      <w:r w:rsid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в сумме 263</w:t>
      </w:r>
      <w:r w:rsidR="0097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 79,7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структуре налоговых доходов бюджета  Норматив зачисления 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</w:t>
      </w:r>
      <w:r w:rsidR="00942EE4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 </w:t>
      </w:r>
      <w:r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поселения – 100%.   </w:t>
      </w:r>
    </w:p>
    <w:p w:rsidR="007B634A" w:rsidRPr="009701BF" w:rsidRDefault="004F0DA6" w:rsidP="007B634A">
      <w:pPr>
        <w:rPr>
          <w:rFonts w:ascii="Times New Roman" w:hAnsi="Times New Roman" w:cs="Times New Roman"/>
          <w:sz w:val="26"/>
          <w:szCs w:val="26"/>
        </w:rPr>
      </w:pPr>
      <w:r w:rsidRPr="009701BF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Неналоговые доходы</w:t>
      </w:r>
      <w:r w:rsidR="002B1EB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="007B63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6D16">
        <w:rPr>
          <w:rFonts w:ascii="Times New Roman" w:hAnsi="Times New Roman" w:cs="Times New Roman"/>
          <w:sz w:val="26"/>
          <w:szCs w:val="26"/>
          <w:lang w:eastAsia="ru-RU"/>
        </w:rPr>
        <w:t>По проекту бюджета Озеро-</w:t>
      </w:r>
      <w:proofErr w:type="spellStart"/>
      <w:r w:rsidR="001C6D16">
        <w:rPr>
          <w:rFonts w:ascii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1C6D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неналоговые доходы на 2016</w:t>
      </w:r>
      <w:r w:rsidR="001C6D16">
        <w:rPr>
          <w:rFonts w:ascii="Times New Roman" w:hAnsi="Times New Roman" w:cs="Times New Roman"/>
          <w:sz w:val="26"/>
          <w:szCs w:val="26"/>
          <w:lang w:eastAsia="ru-RU"/>
        </w:rPr>
        <w:t xml:space="preserve"> год планируются в объеме 55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 xml:space="preserve"> тыс. руб.   из них 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 w:bidi="en-US"/>
        </w:rPr>
        <w:t>доходы от использования имуществ, находящегося в государственной и муниципальной собственности</w:t>
      </w:r>
      <w:r w:rsidR="001C6D1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в сумме 25</w:t>
      </w:r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7B634A" w:rsidRPr="009701BF">
        <w:rPr>
          <w:rFonts w:ascii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1C6D16">
        <w:rPr>
          <w:rFonts w:ascii="Times New Roman" w:hAnsi="Times New Roman" w:cs="Times New Roman"/>
          <w:sz w:val="26"/>
          <w:szCs w:val="26"/>
          <w:lang w:eastAsia="ru-RU"/>
        </w:rPr>
        <w:t xml:space="preserve">., доходы от оказания платных услуг и компенсации затрат государства – 20 </w:t>
      </w:r>
      <w:proofErr w:type="spellStart"/>
      <w:r w:rsidR="001C6D16">
        <w:rPr>
          <w:rFonts w:ascii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1C6D16">
        <w:rPr>
          <w:rFonts w:ascii="Times New Roman" w:hAnsi="Times New Roman" w:cs="Times New Roman"/>
          <w:sz w:val="26"/>
          <w:szCs w:val="26"/>
          <w:lang w:eastAsia="ru-RU"/>
        </w:rPr>
        <w:t xml:space="preserve">., прочие неналоговые доходы (самообложение) прогнозируется в сумме 10 </w:t>
      </w:r>
      <w:proofErr w:type="spellStart"/>
      <w:r w:rsidR="001C6D16">
        <w:rPr>
          <w:rFonts w:ascii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1C6D1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027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6E73">
        <w:rPr>
          <w:rFonts w:ascii="Times New Roman" w:hAnsi="Times New Roman" w:cs="Times New Roman"/>
          <w:sz w:val="26"/>
          <w:szCs w:val="26"/>
          <w:lang w:eastAsia="ru-RU"/>
        </w:rPr>
        <w:t>или</w:t>
      </w:r>
      <w:r w:rsidR="002508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3,4% в структуре </w:t>
      </w:r>
      <w:r w:rsidR="002508B8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бюджета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год.</w:t>
      </w:r>
      <w:r w:rsidR="002508B8" w:rsidRPr="00F278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0DA6" w:rsidRPr="00C74A3C" w:rsidRDefault="002B1EB6" w:rsidP="00F26E7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Безвозмездные </w:t>
      </w:r>
      <w:r w:rsidR="004F0DA6" w:rsidRPr="00C74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поступления</w:t>
      </w:r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вза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имоотноше</w:t>
      </w:r>
      <w:r w:rsid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Озеро-</w:t>
      </w:r>
      <w:proofErr w:type="spellStart"/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 районным  бюджетом на 2016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 так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Законом Республики Алтай от 27.07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.2005г. № 54-РЗ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ениями, в редакции от 14.05.2007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г.)  «О межбюджетных отнош</w:t>
      </w:r>
      <w:r w:rsidR="00A407CE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ениях в Республике Алтай».</w:t>
      </w:r>
      <w:r w:rsidR="004F0DA6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E04BF" w:rsidRPr="00C74A3C" w:rsidRDefault="004F0DA6" w:rsidP="00AE0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межбюджетных трансфертов на 2016 год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бюджету сельского поселения определен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проектом  закона  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</w:t>
      </w:r>
      <w:proofErr w:type="spellStart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«О бюджете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образова</w:t>
      </w:r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</w:t>
      </w:r>
      <w:proofErr w:type="spellStart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AE04BF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2016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(вынесенным на рассмотрение 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образования «</w:t>
      </w:r>
      <w:proofErr w:type="spellStart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9376BA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), 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  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1233,4</w:t>
      </w:r>
      <w:r w:rsid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 Из  них: 895,2</w:t>
      </w:r>
      <w:r w:rsidR="00151EB5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9376BA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  дотация на выравнивание</w:t>
      </w:r>
      <w:r w:rsidR="00245564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обеспеченности сельских поселений</w:t>
      </w:r>
      <w:r w:rsidR="00C62F13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48,2</w:t>
      </w:r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F8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на осуществление полномочи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по 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первичному воинскому учету; прочие субвенции бюджетам поселений в сумме 290 </w:t>
      </w:r>
      <w:proofErr w:type="spellStart"/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DA6" w:rsidRPr="00C74A3C" w:rsidRDefault="004F0DA6" w:rsidP="00AE04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межбюджетных трансфертов наибольший удел</w:t>
      </w:r>
      <w:r w:rsidR="00C74A3C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 занимают дотации – 55,3</w:t>
      </w:r>
      <w:r w:rsidR="00C74A3C"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</w:t>
      </w:r>
      <w:r w:rsidR="007B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субвенции – 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20,9</w:t>
      </w: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  </w:t>
      </w:r>
    </w:p>
    <w:p w:rsidR="004F0DA6" w:rsidRPr="00C74A3C" w:rsidRDefault="004F0DA6" w:rsidP="004F0D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Расхо</w:t>
      </w:r>
      <w:r w:rsidR="00C62F1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ды проек</w:t>
      </w:r>
      <w:r w:rsidR="00250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 бюджета  Озеро-</w:t>
      </w:r>
      <w:proofErr w:type="spellStart"/>
      <w:r w:rsidR="00250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Куреевского</w:t>
      </w:r>
      <w:proofErr w:type="spellEnd"/>
      <w:r w:rsidR="00C62F13"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F0DA6" w:rsidRPr="00C74A3C" w:rsidRDefault="004F0DA6" w:rsidP="004F0DA6">
      <w:pPr>
        <w:spacing w:before="100" w:beforeAutospacing="1" w:after="100" w:afterAutospacing="1"/>
        <w:ind w:firstLine="54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2.1 Общая характеристика</w:t>
      </w:r>
    </w:p>
    <w:p w:rsidR="004940EF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бюд</w:t>
      </w:r>
      <w:r w:rsidR="00A407CE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</w:t>
      </w:r>
      <w:r w:rsidR="002F1A9F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предусмотрен в сумме 1618,4 тыс. руб., планируется на</w:t>
      </w:r>
      <w:r w:rsidR="00BE665A"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r w:rsidR="002508B8" w:rsidRPr="00250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ожидаемого</w:t>
      </w:r>
      <w:r w:rsidR="002508B8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сполнения</w:t>
      </w:r>
      <w:r w:rsidR="002508B8" w:rsidRPr="001C6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текущий  2015 год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2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расходной части бюджета сельского поселения на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базируется на исполнении законодательных актов Российской 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Республики Алтай,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proofErr w:type="spellStart"/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BE665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прогнозируемого объема доходов с учетом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межбюджетных трансфертов в 2016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096B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2.2 Анализ рас</w:t>
      </w:r>
      <w:r w:rsidR="0007096B"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ходов про</w:t>
      </w:r>
      <w:r w:rsidR="004940E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екта бюджета Озеро-</w:t>
      </w:r>
      <w:proofErr w:type="spellStart"/>
      <w:r w:rsidR="004940E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Куреевского</w:t>
      </w:r>
      <w:proofErr w:type="spellEnd"/>
      <w:r w:rsidRPr="00EC4E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сельского поселения по разделам и подразделам классификации расходов бюджета.</w:t>
      </w:r>
    </w:p>
    <w:p w:rsidR="004F0DA6" w:rsidRPr="00EC4EDA" w:rsidRDefault="004F0DA6" w:rsidP="004F0D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сельского поселения по расходам сформирован в соответствии с классификацией расходов, установленной статьей 21 Бюджетного кодекса Российской Федерации.</w:t>
      </w:r>
    </w:p>
    <w:p w:rsidR="00A37B84" w:rsidRPr="00EC4EDA" w:rsidRDefault="00A37B84" w:rsidP="00A37B84">
      <w:pPr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предусматриваются р</w:t>
      </w:r>
      <w:r w:rsidR="00EC4EDA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сходы на 2016 год в сумме 1618,4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Общий объем расх</w:t>
      </w:r>
      <w:r w:rsidR="00E206E3"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Озеро-</w:t>
      </w:r>
      <w:proofErr w:type="spellStart"/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 на</w:t>
      </w:r>
      <w:r w:rsidR="00DC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</w:t>
      </w:r>
      <w:r w:rsidR="001B1CC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исполнения бюджета за 2015</w:t>
      </w:r>
      <w:r w:rsidRPr="00EC4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940EF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4F0DA6" w:rsidRPr="0004672E" w:rsidRDefault="004F0DA6" w:rsidP="0004672E">
      <w:pPr>
        <w:spacing w:before="100" w:beforeAutospacing="1" w:after="100" w:afterAutospacing="1"/>
        <w:ind w:firstLine="53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расходов проекта бюд</w:t>
      </w:r>
      <w:r w:rsidR="00DA14F8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сельского поселения на 2016</w:t>
      </w: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разрезе разделов и подразделов классификации расходов</w:t>
      </w:r>
      <w:r w:rsidR="00BA1180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приведена в таблице № 3</w:t>
      </w:r>
      <w:r w:rsid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</w:t>
      </w:r>
      <w:r w:rsidR="00BA1180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          </w:t>
      </w:r>
      <w:r w:rsidR="00CB538B" w:rsidRPr="00BA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W w:w="9391" w:type="dxa"/>
        <w:tblCellSpacing w:w="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2583"/>
        <w:gridCol w:w="1559"/>
        <w:gridCol w:w="1843"/>
      </w:tblGrid>
      <w:tr w:rsidR="006304BB" w:rsidRPr="00BA1180" w:rsidTr="006304BB">
        <w:trPr>
          <w:trHeight w:val="2230"/>
          <w:tblCellSpacing w:w="0" w:type="dxa"/>
        </w:trPr>
        <w:tc>
          <w:tcPr>
            <w:tcW w:w="3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4BB" w:rsidRPr="006304BB" w:rsidRDefault="006304BB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4BB" w:rsidRPr="006304BB" w:rsidRDefault="006304BB" w:rsidP="00331E2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Ожидаемое    исполнение </w:t>
            </w:r>
          </w:p>
          <w:p w:rsidR="00331E2A" w:rsidRDefault="006304BB" w:rsidP="00331E2A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  <w:p w:rsidR="00331E2A" w:rsidRPr="006304BB" w:rsidRDefault="00331E2A" w:rsidP="00331E2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304BB" w:rsidRPr="006304BB" w:rsidRDefault="006304BB" w:rsidP="00331E2A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2A" w:rsidRPr="00331E2A" w:rsidRDefault="006304BB" w:rsidP="00331E2A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проекту решения </w:t>
            </w:r>
            <w:r w:rsidRPr="0063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331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6304BB" w:rsidRPr="006304BB" w:rsidRDefault="00331E2A" w:rsidP="004F0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 руб.)</w:t>
            </w:r>
            <w:r w:rsidR="006304BB"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E2A" w:rsidRPr="006304BB" w:rsidRDefault="006304BB" w:rsidP="00331E2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общем расходе</w:t>
            </w:r>
            <w:proofErr w:type="gramStart"/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3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</w:tc>
      </w:tr>
      <w:tr w:rsidR="006304BB" w:rsidRPr="00BA1180" w:rsidTr="00331E2A">
        <w:trPr>
          <w:trHeight w:val="60"/>
          <w:tblHeader/>
          <w:tblCellSpacing w:w="0" w:type="dxa"/>
        </w:trPr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4BB" w:rsidRPr="00BA1180" w:rsidRDefault="006304BB" w:rsidP="004F0D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4BB" w:rsidRPr="00BA1180" w:rsidRDefault="006304BB" w:rsidP="006304BB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4BB" w:rsidRPr="00BA1180" w:rsidRDefault="006304BB" w:rsidP="004F0DA6">
            <w:pPr>
              <w:spacing w:before="100" w:beforeAutospacing="1" w:after="100" w:afterAutospacing="1" w:line="11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4BB" w:rsidRPr="00BA1180" w:rsidRDefault="006304BB" w:rsidP="00331E2A">
            <w:pPr>
              <w:spacing w:before="100" w:beforeAutospacing="1" w:after="100" w:afterAutospacing="1" w:line="112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1842" w:rsidRPr="00BA1180" w:rsidTr="001E40E3">
        <w:trPr>
          <w:trHeight w:val="58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4F0DA6">
            <w:pPr>
              <w:spacing w:before="100" w:beforeAutospacing="1" w:after="100" w:afterAutospacing="1" w:line="57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  <w:r w:rsidR="009B5964"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(0100)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A6" w:rsidRPr="009B5964" w:rsidRDefault="004148A0" w:rsidP="00BA1180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A6" w:rsidRPr="009B5964" w:rsidRDefault="004148A0" w:rsidP="00331E2A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9B5964" w:rsidRDefault="004148A0" w:rsidP="001E40E3">
            <w:pPr>
              <w:spacing w:before="100" w:beforeAutospacing="1" w:after="100" w:afterAutospacing="1"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58,3</w:t>
            </w:r>
          </w:p>
        </w:tc>
      </w:tr>
      <w:tr w:rsidR="00391842" w:rsidRPr="00BA1180" w:rsidTr="001E40E3">
        <w:trPr>
          <w:trHeight w:val="455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9604E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Функционирование высшего должностного лица </w:t>
            </w:r>
            <w:r w:rsidR="009604E7"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4148A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</w:t>
            </w:r>
          </w:p>
        </w:tc>
      </w:tr>
      <w:tr w:rsidR="00391842" w:rsidRPr="00BA1180" w:rsidTr="00331E2A">
        <w:trPr>
          <w:trHeight w:val="728"/>
          <w:tblCellSpacing w:w="0" w:type="dxa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9604E7">
            <w:pPr>
              <w:spacing w:before="100" w:beforeAutospacing="1" w:after="100" w:afterAutospacing="1"/>
              <w:ind w:hanging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Функционирование </w:t>
            </w:r>
            <w:r w:rsidR="009604E7"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4148A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36,1</w:t>
            </w:r>
          </w:p>
        </w:tc>
      </w:tr>
      <w:tr w:rsidR="00391842" w:rsidRPr="00BA1180" w:rsidTr="001E40E3">
        <w:trPr>
          <w:trHeight w:val="64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86" w:rsidRPr="006304BB" w:rsidRDefault="00737686" w:rsidP="004F0DA6">
            <w:pPr>
              <w:spacing w:before="100" w:beforeAutospacing="1" w:after="100" w:afterAutospacing="1" w:line="63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737686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4940EF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4148A0" w:rsidP="004148A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391842" w:rsidRPr="00BA1180" w:rsidTr="001E40E3">
        <w:trPr>
          <w:trHeight w:val="64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4F0DA6">
            <w:pPr>
              <w:spacing w:before="100" w:beforeAutospacing="1" w:after="100" w:afterAutospacing="1" w:line="6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  <w:r w:rsidR="009B5964"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BA1180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1E40E3">
            <w:pPr>
              <w:spacing w:before="100" w:beforeAutospacing="1" w:after="100" w:afterAutospacing="1" w:line="6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391842" w:rsidRPr="00BA1180" w:rsidTr="001E40E3">
        <w:trPr>
          <w:trHeight w:val="303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  и вневойсковая подготовка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4148A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80671" w:rsidRPr="00BA1180" w:rsidTr="001E40E3">
        <w:trPr>
          <w:trHeight w:val="654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671" w:rsidRPr="006304BB" w:rsidRDefault="00F80671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деятельность(0300)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4148A0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4940EF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671" w:rsidRPr="00BA1180" w:rsidRDefault="004148A0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0,4</w:t>
            </w:r>
          </w:p>
        </w:tc>
      </w:tr>
      <w:tr w:rsidR="00391842" w:rsidRPr="00BA1180" w:rsidTr="001E40E3">
        <w:trPr>
          <w:trHeight w:val="654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  <w:r w:rsidR="009B5964"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686" w:rsidRPr="00BA1180" w:rsidRDefault="004148A0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19,8</w:t>
            </w:r>
          </w:p>
        </w:tc>
      </w:tr>
      <w:tr w:rsidR="00391842" w:rsidRPr="00BA1180" w:rsidTr="001E40E3">
        <w:trPr>
          <w:trHeight w:val="301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940EF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Благоустройство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9B596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39184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391842" w:rsidRPr="009B5964" w:rsidTr="001E40E3">
        <w:trPr>
          <w:trHeight w:val="303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64" w:rsidRPr="006304BB" w:rsidRDefault="004940EF" w:rsidP="004F0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964" w:rsidRPr="009B5964" w:rsidRDefault="004148A0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964" w:rsidRPr="009B5964" w:rsidRDefault="004940EF" w:rsidP="00BA118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964" w:rsidRPr="009B5964" w:rsidRDefault="004148A0" w:rsidP="001E40E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18,5</w:t>
            </w:r>
          </w:p>
        </w:tc>
      </w:tr>
      <w:tr w:rsidR="00391842" w:rsidRPr="00BA1180" w:rsidTr="001E40E3">
        <w:trPr>
          <w:trHeight w:val="61"/>
          <w:tblCellSpacing w:w="0" w:type="dxa"/>
        </w:trPr>
        <w:tc>
          <w:tcPr>
            <w:tcW w:w="3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A6" w:rsidRPr="006304BB" w:rsidRDefault="004F0DA6" w:rsidP="004F0DA6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BA1180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940EF" w:rsidP="00BA1180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DA6" w:rsidRPr="00BA1180" w:rsidRDefault="004148A0" w:rsidP="001E40E3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</w:tr>
    </w:tbl>
    <w:p w:rsidR="001E40E3" w:rsidRDefault="009954C7" w:rsidP="009954C7">
      <w:pPr>
        <w:widowControl w:val="0"/>
        <w:tabs>
          <w:tab w:val="num" w:pos="0"/>
          <w:tab w:val="left" w:pos="113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240"/>
        <w:ind w:firstLine="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9954C7" w:rsidRPr="004148A0" w:rsidRDefault="001E40E3" w:rsidP="009604E7">
      <w:pPr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E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54C7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удельный вес в структуре общего объема расходов проекта бюджета на</w:t>
      </w:r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 составляют расходы на </w:t>
      </w:r>
      <w:r w:rsidR="009954C7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щегосударственные вопросы – 58,3%., жилищно-коммунальное хозяйство – 19,8%</w:t>
      </w:r>
      <w:r w:rsidR="009604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4C7" w:rsidRPr="0004672E" w:rsidRDefault="009954C7" w:rsidP="009954C7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0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 6 «Распределение бюджетных ассигнований по главным распорядителям,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</w:t>
      </w:r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</w:t>
      </w:r>
      <w:proofErr w:type="gramEnd"/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Куреевское</w:t>
      </w:r>
      <w:proofErr w:type="spellEnd"/>
      <w:r w:rsidR="00E206E3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на 2016 год главным распорядителем сре</w:t>
      </w:r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бюджета Озеро-</w:t>
      </w:r>
      <w:proofErr w:type="spellStart"/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явл</w:t>
      </w:r>
      <w:r w:rsidR="0049207A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А</w:t>
      </w:r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Озеро-</w:t>
      </w:r>
      <w:proofErr w:type="spellStart"/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поселения.     </w:t>
      </w:r>
    </w:p>
    <w:p w:rsidR="009954C7" w:rsidRPr="0004672E" w:rsidRDefault="009954C7" w:rsidP="0049207A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поселения по разделу «Общегосударственные расходы»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по подразделам и направлены:</w:t>
      </w:r>
    </w:p>
    <w:p w:rsidR="009954C7" w:rsidRDefault="009954C7" w:rsidP="009954C7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деятельности главы по</w:t>
      </w:r>
      <w:r w:rsidR="0004672E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4148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на 2016 год в объеме 350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4148A0" w:rsidRPr="0004672E" w:rsidRDefault="002570B1" w:rsidP="009954C7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функционирование местных администраций в сумме 583,2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0002F9" w:rsidRDefault="004148A0" w:rsidP="000002F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резервные фонды  в сумме 10</w:t>
      </w:r>
      <w:r w:rsidR="0000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  <w:proofErr w:type="spellStart"/>
      <w:r w:rsidR="000002F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002F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002F9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0002F9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9954C7" w:rsidRPr="0004672E" w:rsidRDefault="009954C7" w:rsidP="009954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расходов на общегосударственные вопросы  в общей структу</w:t>
      </w:r>
      <w:r w:rsidR="0049207A"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 расх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 бюджета Озеро-</w:t>
      </w:r>
      <w:proofErr w:type="spellStart"/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составит в 2016 году – 58,3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9954C7" w:rsidRPr="0004672E" w:rsidRDefault="009954C7" w:rsidP="009954C7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 разделу</w:t>
      </w:r>
      <w:r w:rsidR="0049207A"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«Национальная оборона</w:t>
      </w:r>
      <w:r w:rsidRPr="0004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49207A" w:rsidRDefault="0049207A" w:rsidP="0049207A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мероприятия по мобилизационной вневойсковой подготовке, осуществление первичного воинского учета на территориях, где отсутствуют военные комисс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ариаты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 в объеме 48,2</w:t>
      </w:r>
      <w:r w:rsidRPr="0004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 </w:t>
      </w:r>
    </w:p>
    <w:p w:rsidR="004E61B6" w:rsidRDefault="00330721" w:rsidP="004E61B6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по разделу</w:t>
      </w:r>
      <w:r w:rsidR="00257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«Жилищно-коммунальное хозяйство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320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spellEnd"/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направлены на содержание уличного освещения, содержание и ремонт  улиц сел поселений. </w:t>
      </w:r>
      <w:r w:rsidR="004E61B6" w:rsidRP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B6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указанных расходов за 2016 год в общ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объеме расходов составит 19,8</w:t>
      </w:r>
      <w:r w:rsidR="004E61B6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954C7" w:rsidRPr="00B52097" w:rsidRDefault="009954C7" w:rsidP="004E61B6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Расходы по разд</w:t>
      </w:r>
      <w:r w:rsidR="00257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елу «Физическая культура и спорт</w:t>
      </w:r>
      <w:r w:rsidRPr="00B52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заплан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ировано на содержание  и ремонт объектов культуры в сумме 300 </w:t>
      </w:r>
      <w:r w:rsidR="00141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4B9" w:rsidRDefault="006134B9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указанных расходов за 2016 год в об</w:t>
      </w:r>
      <w:r w:rsidR="0004672E"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объеме расход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составит 18,5</w:t>
      </w:r>
      <w:r w:rsidRPr="00B52097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A55B07" w:rsidRDefault="00A55B07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B07" w:rsidRPr="00A55B07" w:rsidRDefault="00A55B07" w:rsidP="00A55B0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B07">
        <w:rPr>
          <w:rFonts w:ascii="Times New Roman" w:hAnsi="Times New Roman" w:cs="Times New Roman"/>
          <w:sz w:val="26"/>
          <w:szCs w:val="26"/>
        </w:rPr>
        <w:t>Норматив формирования расходов на содержание органов местного самоуправления, утвержденный постановлен</w:t>
      </w:r>
      <w:r>
        <w:rPr>
          <w:rFonts w:ascii="Times New Roman" w:hAnsi="Times New Roman" w:cs="Times New Roman"/>
          <w:sz w:val="26"/>
          <w:szCs w:val="26"/>
        </w:rPr>
        <w:t>ием Правительства Республики Алтай от 19.12.2014г. № 396</w:t>
      </w:r>
      <w:r w:rsidRPr="00A55B07">
        <w:rPr>
          <w:rFonts w:ascii="Times New Roman" w:hAnsi="Times New Roman" w:cs="Times New Roman"/>
          <w:sz w:val="26"/>
          <w:szCs w:val="26"/>
        </w:rPr>
        <w:t xml:space="preserve"> «Об утверждении нормативов формирования расходов на содержание органов местного самоуправления муниципа</w:t>
      </w:r>
      <w:r>
        <w:rPr>
          <w:rFonts w:ascii="Times New Roman" w:hAnsi="Times New Roman" w:cs="Times New Roman"/>
          <w:sz w:val="26"/>
          <w:szCs w:val="26"/>
        </w:rPr>
        <w:t>льных образований Республики Алтай» на 2016 год</w:t>
      </w:r>
      <w:r w:rsidRPr="00A55B07">
        <w:rPr>
          <w:rFonts w:ascii="Times New Roman" w:hAnsi="Times New Roman" w:cs="Times New Roman"/>
          <w:sz w:val="26"/>
          <w:szCs w:val="26"/>
        </w:rPr>
        <w:t xml:space="preserve"> не превышен.</w:t>
      </w:r>
    </w:p>
    <w:p w:rsidR="009954C7" w:rsidRPr="00197003" w:rsidRDefault="009954C7" w:rsidP="009954C7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197003" w:rsidRDefault="009954C7" w:rsidP="009954C7">
      <w:pPr>
        <w:ind w:firstLine="0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54C7" w:rsidRPr="006304BB" w:rsidRDefault="009954C7" w:rsidP="006304BB">
      <w:pPr>
        <w:autoSpaceDE w:val="0"/>
        <w:ind w:firstLine="567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B5209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В целом экспертиза проекта бюджета на 2016 год показала соответствие ведомственной структуры бюджета распределению бюджетных ассигнований по разделам и подразделам классификации расходов, распределению бюджетных ассигнований по целевым статьям (муниципальным программам и не программным направлениям деятельности), группам видов расходов</w:t>
      </w:r>
      <w:r w:rsidR="0057552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,</w:t>
      </w:r>
      <w:r w:rsidRPr="00B5209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классификации расходов бюджетов  и имеющимся приложениям.</w:t>
      </w:r>
    </w:p>
    <w:p w:rsidR="006134B9" w:rsidRPr="00197003" w:rsidRDefault="006134B9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бюджета.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  <w:tab w:val="left" w:pos="3686"/>
        </w:tabs>
        <w:autoSpaceDE w:val="0"/>
        <w:autoSpaceDN w:val="0"/>
        <w:adjustRightInd w:val="0"/>
        <w:ind w:firstLine="0"/>
        <w:contextualSpacing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ст. 92.1 БК РФ установлено,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приложениях к проекту должны быть определены источники финансирования дефицита бюджета.  Отсутствие данного факта является нарушением принципа полноты отражения доходов, расходов и источников финансирования дефицитов бюджетов, закрепленного ст.32 БК РФ.</w:t>
      </w:r>
    </w:p>
    <w:p w:rsidR="009954C7" w:rsidRPr="00713C51" w:rsidRDefault="009954C7" w:rsidP="009954C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предусмотрено отсутствие дефицита бюджета на 2016 год.  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Резервный фонд администрации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left="2149" w:firstLine="0"/>
        <w:contextualSpacing/>
        <w:jc w:val="lef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установлен размер резервно</w:t>
      </w:r>
      <w:r w:rsidR="009A163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фонда ад</w:t>
      </w:r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Озеро-</w:t>
      </w:r>
      <w:proofErr w:type="spellStart"/>
      <w:r w:rsidR="002570B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0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 поселения – 5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  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ассигнований по подразделу  «Резервный фонд» не превышает установленным   Положением о бюджетном процессе, ограничение в размере 3 % общего объема расходов.</w:t>
      </w:r>
    </w:p>
    <w:p w:rsidR="009954C7" w:rsidRPr="00713C51" w:rsidRDefault="009954C7" w:rsidP="009954C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604E7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200" w:line="276" w:lineRule="auto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долг,</w:t>
      </w:r>
      <w:r w:rsidR="00960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муниципальных внутренних заимствований,</w:t>
      </w:r>
      <w:r w:rsidR="00960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муниципальных гарантий.</w:t>
      </w:r>
    </w:p>
    <w:p w:rsidR="009954C7" w:rsidRPr="00713C51" w:rsidRDefault="009954C7" w:rsidP="009604E7">
      <w:pPr>
        <w:widowControl w:val="0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0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4C7" w:rsidRPr="00713C51" w:rsidRDefault="009954C7" w:rsidP="009954C7">
      <w:pPr>
        <w:widowControl w:val="0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Проектом установлен верхний предел мун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долга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 сумме 0,0 тыс. руб. </w:t>
      </w:r>
    </w:p>
    <w:p w:rsidR="009954C7" w:rsidRPr="006304BB" w:rsidRDefault="009954C7" w:rsidP="00331E2A">
      <w:pPr>
        <w:widowControl w:val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заемных средств и предоставление муниципальных гара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нтий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2016   не планируется.</w:t>
      </w:r>
    </w:p>
    <w:p w:rsidR="009954C7" w:rsidRPr="006304BB" w:rsidRDefault="00002F7F" w:rsidP="00002F7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9954C7" w:rsidRPr="00575521" w:rsidRDefault="009954C7" w:rsidP="009954C7">
      <w:pPr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954C7" w:rsidRPr="00713C51" w:rsidRDefault="009954C7" w:rsidP="006304BB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01.07.2013 № 65н (в редакции от 26.09.2014) во исполнение ст. 29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предел м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долга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установлен в проекте бюджета 0,0 тыс. рублей на 01 января 2016 года в соответствии с п. 6 ст. 107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сельского поселения  на 2016 год составляет 0,0 тыс. рублей.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сформирована на основании прогноза социально-эконо</w:t>
      </w:r>
      <w:r w:rsidR="001410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мического разви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на 2016 год   в соответствии со ст. 174.1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утверждаемых в проекте бюджета доходов соответствует ст. 41, 42, 61, 62 БК РФ.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устанавливается размер резервного ф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 ад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в соответствии с ограничениями, предусмотренными п. 3 ст. 81 БК РФ. 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проекта бюджета Контрольно-ревизионная комиссия муниципального образования «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считает, что проект бюджета по основным параметрам является достоверным.</w:t>
      </w:r>
    </w:p>
    <w:p w:rsidR="009954C7" w:rsidRPr="00713C51" w:rsidRDefault="009954C7" w:rsidP="009954C7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может быть принят к рассмотрению сельским Советом депутатов   муницип</w:t>
      </w:r>
      <w:r w:rsidR="006134B9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</w:t>
      </w:r>
      <w:r w:rsidR="004E6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</w:t>
      </w:r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Озеро-</w:t>
      </w:r>
      <w:proofErr w:type="spellStart"/>
      <w:r w:rsidR="002C2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Куреевского</w:t>
      </w:r>
      <w:proofErr w:type="spellEnd"/>
      <w:r w:rsidR="005F4A5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Турочакского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Алтай</w:t>
      </w:r>
      <w:r w:rsidR="006304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4B9" w:rsidRPr="00713C51" w:rsidRDefault="006134B9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954C7"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13C51" w:rsidRDefault="006134B9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002F7F" w:rsidRDefault="00002F7F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4BB" w:rsidRDefault="006304BB" w:rsidP="006134B9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4C7" w:rsidRPr="00713C51" w:rsidRDefault="00002F7F" w:rsidP="006134B9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713C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9954C7"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КРК</w:t>
      </w:r>
    </w:p>
    <w:p w:rsidR="009954C7" w:rsidRPr="00713C51" w:rsidRDefault="009954C7" w:rsidP="009954C7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</w:t>
      </w:r>
      <w:r w:rsidR="00630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713C51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В.В.Алексенцев</w:t>
      </w:r>
      <w:proofErr w:type="spellEnd"/>
    </w:p>
    <w:p w:rsidR="009954C7" w:rsidRDefault="009954C7" w:rsidP="009954C7">
      <w:pPr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4BB" w:rsidRDefault="006304BB" w:rsidP="009954C7">
      <w:pPr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4BB" w:rsidRPr="00713C51" w:rsidRDefault="006304BB" w:rsidP="009954C7">
      <w:pPr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329" w:rsidRPr="009F2AEC" w:rsidRDefault="002C2329" w:rsidP="002C2329">
      <w:pPr>
        <w:ind w:firstLine="70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КРК</w:t>
      </w:r>
    </w:p>
    <w:p w:rsidR="009954C7" w:rsidRPr="002C2329" w:rsidRDefault="002C2329" w:rsidP="002C2329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  </w:t>
      </w:r>
      <w:r w:rsidR="00630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9F2AEC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Р.В.Вагнер</w:t>
      </w:r>
      <w:proofErr w:type="spellEnd"/>
    </w:p>
    <w:p w:rsidR="009954C7" w:rsidRPr="00197003" w:rsidRDefault="009954C7" w:rsidP="009954C7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9954C7" w:rsidRPr="001970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E0" w:rsidRDefault="00BB00E0" w:rsidP="006304BB">
      <w:r>
        <w:separator/>
      </w:r>
    </w:p>
  </w:endnote>
  <w:endnote w:type="continuationSeparator" w:id="0">
    <w:p w:rsidR="00BB00E0" w:rsidRDefault="00BB00E0" w:rsidP="0063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E0" w:rsidRDefault="00BB00E0" w:rsidP="006304BB">
      <w:r>
        <w:separator/>
      </w:r>
    </w:p>
  </w:footnote>
  <w:footnote w:type="continuationSeparator" w:id="0">
    <w:p w:rsidR="00BB00E0" w:rsidRDefault="00BB00E0" w:rsidP="0063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23501"/>
      <w:docPartObj>
        <w:docPartGallery w:val="Page Numbers (Top of Page)"/>
        <w:docPartUnique/>
      </w:docPartObj>
    </w:sdtPr>
    <w:sdtEndPr/>
    <w:sdtContent>
      <w:p w:rsidR="006304BB" w:rsidRDefault="006304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39">
          <w:rPr>
            <w:noProof/>
          </w:rPr>
          <w:t>1</w:t>
        </w:r>
        <w:r>
          <w:fldChar w:fldCharType="end"/>
        </w:r>
      </w:p>
    </w:sdtContent>
  </w:sdt>
  <w:p w:rsidR="006304BB" w:rsidRDefault="00630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479"/>
    <w:multiLevelType w:val="hybridMultilevel"/>
    <w:tmpl w:val="AFF4C158"/>
    <w:lvl w:ilvl="0" w:tplc="B2E48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967239"/>
    <w:multiLevelType w:val="hybridMultilevel"/>
    <w:tmpl w:val="328A2CDC"/>
    <w:lvl w:ilvl="0" w:tplc="652E1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A6"/>
    <w:rsid w:val="000002F9"/>
    <w:rsid w:val="00002F7F"/>
    <w:rsid w:val="00030013"/>
    <w:rsid w:val="0004672E"/>
    <w:rsid w:val="00065C20"/>
    <w:rsid w:val="0007096B"/>
    <w:rsid w:val="000C01BE"/>
    <w:rsid w:val="000C3CAA"/>
    <w:rsid w:val="000D0090"/>
    <w:rsid w:val="000F5E98"/>
    <w:rsid w:val="00127201"/>
    <w:rsid w:val="001320A0"/>
    <w:rsid w:val="001410A9"/>
    <w:rsid w:val="00151EB5"/>
    <w:rsid w:val="001556ED"/>
    <w:rsid w:val="00172FFE"/>
    <w:rsid w:val="0017393C"/>
    <w:rsid w:val="00196A95"/>
    <w:rsid w:val="00197003"/>
    <w:rsid w:val="001B1CCF"/>
    <w:rsid w:val="001B5C67"/>
    <w:rsid w:val="001C6D16"/>
    <w:rsid w:val="001E40E3"/>
    <w:rsid w:val="00245564"/>
    <w:rsid w:val="002501F9"/>
    <w:rsid w:val="002508B8"/>
    <w:rsid w:val="002570B1"/>
    <w:rsid w:val="00280A25"/>
    <w:rsid w:val="00292777"/>
    <w:rsid w:val="002B1EB6"/>
    <w:rsid w:val="002C2329"/>
    <w:rsid w:val="002F1A9F"/>
    <w:rsid w:val="002F3163"/>
    <w:rsid w:val="00330721"/>
    <w:rsid w:val="00331E2A"/>
    <w:rsid w:val="003525DE"/>
    <w:rsid w:val="00360791"/>
    <w:rsid w:val="00383FC9"/>
    <w:rsid w:val="00391842"/>
    <w:rsid w:val="003D767B"/>
    <w:rsid w:val="003E3D12"/>
    <w:rsid w:val="004148A0"/>
    <w:rsid w:val="0049207A"/>
    <w:rsid w:val="004940EF"/>
    <w:rsid w:val="004A5535"/>
    <w:rsid w:val="004D5262"/>
    <w:rsid w:val="004E45E5"/>
    <w:rsid w:val="004E61B6"/>
    <w:rsid w:val="004F0DA6"/>
    <w:rsid w:val="004F2435"/>
    <w:rsid w:val="00567ADB"/>
    <w:rsid w:val="00575521"/>
    <w:rsid w:val="00580713"/>
    <w:rsid w:val="005B216C"/>
    <w:rsid w:val="005F4A57"/>
    <w:rsid w:val="005F72E6"/>
    <w:rsid w:val="00604E07"/>
    <w:rsid w:val="006134B9"/>
    <w:rsid w:val="006304BB"/>
    <w:rsid w:val="00653904"/>
    <w:rsid w:val="00655308"/>
    <w:rsid w:val="006D5DE6"/>
    <w:rsid w:val="006E3E58"/>
    <w:rsid w:val="00713C51"/>
    <w:rsid w:val="00737686"/>
    <w:rsid w:val="007458F8"/>
    <w:rsid w:val="007A5782"/>
    <w:rsid w:val="007B634A"/>
    <w:rsid w:val="007D4024"/>
    <w:rsid w:val="00802722"/>
    <w:rsid w:val="0083153E"/>
    <w:rsid w:val="008E3C23"/>
    <w:rsid w:val="009376BA"/>
    <w:rsid w:val="00942EE4"/>
    <w:rsid w:val="00946257"/>
    <w:rsid w:val="009604E7"/>
    <w:rsid w:val="009701BF"/>
    <w:rsid w:val="00973CD1"/>
    <w:rsid w:val="00985B97"/>
    <w:rsid w:val="0099245E"/>
    <w:rsid w:val="009954C7"/>
    <w:rsid w:val="00997C72"/>
    <w:rsid w:val="009A1639"/>
    <w:rsid w:val="009B2B48"/>
    <w:rsid w:val="009B5964"/>
    <w:rsid w:val="009E61B1"/>
    <w:rsid w:val="00A12B77"/>
    <w:rsid w:val="00A14E5A"/>
    <w:rsid w:val="00A17309"/>
    <w:rsid w:val="00A37B84"/>
    <w:rsid w:val="00A407CE"/>
    <w:rsid w:val="00A465C9"/>
    <w:rsid w:val="00A55B07"/>
    <w:rsid w:val="00AC6E3E"/>
    <w:rsid w:val="00AE04BF"/>
    <w:rsid w:val="00AE1829"/>
    <w:rsid w:val="00B52097"/>
    <w:rsid w:val="00B815D0"/>
    <w:rsid w:val="00BA1180"/>
    <w:rsid w:val="00BB00E0"/>
    <w:rsid w:val="00BB4239"/>
    <w:rsid w:val="00BC6E2F"/>
    <w:rsid w:val="00BD1506"/>
    <w:rsid w:val="00BE4BCB"/>
    <w:rsid w:val="00BE665A"/>
    <w:rsid w:val="00BF0541"/>
    <w:rsid w:val="00C20C0E"/>
    <w:rsid w:val="00C365D1"/>
    <w:rsid w:val="00C62F13"/>
    <w:rsid w:val="00C70C29"/>
    <w:rsid w:val="00C74A3C"/>
    <w:rsid w:val="00C81EA9"/>
    <w:rsid w:val="00C97108"/>
    <w:rsid w:val="00CB538B"/>
    <w:rsid w:val="00CE577A"/>
    <w:rsid w:val="00CE7F91"/>
    <w:rsid w:val="00D4608C"/>
    <w:rsid w:val="00D6715D"/>
    <w:rsid w:val="00D7133C"/>
    <w:rsid w:val="00DA14F8"/>
    <w:rsid w:val="00DC6916"/>
    <w:rsid w:val="00DD1394"/>
    <w:rsid w:val="00E12996"/>
    <w:rsid w:val="00E206E3"/>
    <w:rsid w:val="00E27F6C"/>
    <w:rsid w:val="00E52782"/>
    <w:rsid w:val="00E556E2"/>
    <w:rsid w:val="00E556FB"/>
    <w:rsid w:val="00E63647"/>
    <w:rsid w:val="00EB2457"/>
    <w:rsid w:val="00EC4EDA"/>
    <w:rsid w:val="00ED659F"/>
    <w:rsid w:val="00EF0F1E"/>
    <w:rsid w:val="00F26E73"/>
    <w:rsid w:val="00F27881"/>
    <w:rsid w:val="00F474E4"/>
    <w:rsid w:val="00F55F1A"/>
    <w:rsid w:val="00F80671"/>
    <w:rsid w:val="00F84A49"/>
    <w:rsid w:val="00FD280A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F"/>
    <w:pPr>
      <w:ind w:firstLine="709"/>
    </w:pPr>
  </w:style>
  <w:style w:type="paragraph" w:styleId="a6">
    <w:name w:val="List Paragraph"/>
    <w:basedOn w:val="a"/>
    <w:uiPriority w:val="34"/>
    <w:qFormat/>
    <w:rsid w:val="00000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0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4BB"/>
  </w:style>
  <w:style w:type="paragraph" w:styleId="a9">
    <w:name w:val="footer"/>
    <w:basedOn w:val="a"/>
    <w:link w:val="aa"/>
    <w:uiPriority w:val="99"/>
    <w:unhideWhenUsed/>
    <w:rsid w:val="00630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9F"/>
    <w:pPr>
      <w:ind w:firstLine="709"/>
    </w:pPr>
  </w:style>
  <w:style w:type="paragraph" w:styleId="a6">
    <w:name w:val="List Paragraph"/>
    <w:basedOn w:val="a"/>
    <w:uiPriority w:val="34"/>
    <w:qFormat/>
    <w:rsid w:val="00000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0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4BB"/>
  </w:style>
  <w:style w:type="paragraph" w:styleId="a9">
    <w:name w:val="footer"/>
    <w:basedOn w:val="a"/>
    <w:link w:val="aa"/>
    <w:uiPriority w:val="99"/>
    <w:unhideWhenUsed/>
    <w:rsid w:val="006304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571C-F945-4E89-9596-FECBB0D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Комиссия</cp:lastModifiedBy>
  <cp:revision>44</cp:revision>
  <cp:lastPrinted>2016-01-13T09:47:00Z</cp:lastPrinted>
  <dcterms:created xsi:type="dcterms:W3CDTF">2015-11-24T06:14:00Z</dcterms:created>
  <dcterms:modified xsi:type="dcterms:W3CDTF">2016-01-13T09:49:00Z</dcterms:modified>
</cp:coreProperties>
</file>