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65" w:rsidRDefault="006C1D65" w:rsidP="006C1D65">
      <w:pPr>
        <w:pStyle w:val="ConsPlusTitle"/>
        <w:widowControl/>
        <w:jc w:val="both"/>
      </w:pPr>
    </w:p>
    <w:p w:rsidR="006C1D65" w:rsidRDefault="006C1D65" w:rsidP="006C1D65">
      <w:pPr>
        <w:pStyle w:val="ConsPlusTitle"/>
        <w:widowControl/>
        <w:jc w:val="center"/>
      </w:pPr>
      <w:r>
        <w:rPr>
          <w:lang w:val="en-US"/>
        </w:rPr>
        <w:t>II</w:t>
      </w:r>
      <w:r>
        <w:t>.Пояснительная записка</w:t>
      </w:r>
    </w:p>
    <w:p w:rsidR="006C1D65" w:rsidRDefault="006C1D65" w:rsidP="006C1D65">
      <w:pPr>
        <w:pStyle w:val="ConsPlusTitle"/>
        <w:widowControl/>
        <w:jc w:val="center"/>
      </w:pPr>
      <w:r>
        <w:t>к показателям эффективности деятельности органов местного самоуправления муниципального образования «Турочакский район» за 2015 год и их планируемые значения на 2016-2018 годы</w:t>
      </w:r>
    </w:p>
    <w:p w:rsidR="00F92565" w:rsidRPr="00AA467A" w:rsidRDefault="00F92565" w:rsidP="001F77AF">
      <w:pPr>
        <w:autoSpaceDE w:val="0"/>
        <w:autoSpaceDN w:val="0"/>
        <w:adjustRightInd w:val="0"/>
        <w:spacing w:before="60" w:afterLines="60" w:after="144"/>
        <w:ind w:firstLine="540"/>
        <w:jc w:val="both"/>
        <w:rPr>
          <w:color w:val="000000"/>
          <w:highlight w:val="red"/>
        </w:rPr>
      </w:pPr>
    </w:p>
    <w:p w:rsidR="00F92565" w:rsidRPr="00AA467A" w:rsidRDefault="00F92565" w:rsidP="001F77AF">
      <w:pPr>
        <w:pStyle w:val="a4"/>
        <w:spacing w:before="60" w:afterLines="60" w:after="144"/>
        <w:ind w:firstLine="709"/>
        <w:jc w:val="both"/>
      </w:pPr>
      <w:r w:rsidRPr="00AA467A">
        <w:t xml:space="preserve">Турочакский район образован в 1922 году с центром в селе Турочак. Территория района расположена в </w:t>
      </w:r>
      <w:proofErr w:type="spellStart"/>
      <w:r w:rsidRPr="00AA467A">
        <w:t>северо</w:t>
      </w:r>
      <w:proofErr w:type="spellEnd"/>
      <w:r w:rsidRPr="00AA467A">
        <w:t xml:space="preserve">–восточной части Республики Алтай и граничит </w:t>
      </w:r>
      <w:r w:rsidR="00613629" w:rsidRPr="00AA467A">
        <w:t xml:space="preserve">на </w:t>
      </w:r>
      <w:r w:rsidRPr="00AA467A">
        <w:t xml:space="preserve">юге с </w:t>
      </w:r>
      <w:proofErr w:type="spellStart"/>
      <w:r w:rsidRPr="00AA467A">
        <w:t>Улаганским</w:t>
      </w:r>
      <w:proofErr w:type="spellEnd"/>
      <w:r w:rsidRPr="00AA467A">
        <w:t xml:space="preserve"> районом, на востоке с Кемеровской областью, на </w:t>
      </w:r>
      <w:proofErr w:type="spellStart"/>
      <w:r w:rsidRPr="00AA467A">
        <w:t>юго</w:t>
      </w:r>
      <w:proofErr w:type="spellEnd"/>
      <w:r w:rsidRPr="00AA467A">
        <w:t xml:space="preserve">–востоке с Республикой Хакассия, на севере с </w:t>
      </w:r>
      <w:proofErr w:type="spellStart"/>
      <w:r w:rsidRPr="00AA467A">
        <w:t>Солтонским</w:t>
      </w:r>
      <w:proofErr w:type="spellEnd"/>
      <w:r w:rsidRPr="00AA467A">
        <w:t xml:space="preserve"> районом Алтайского края, на </w:t>
      </w:r>
      <w:proofErr w:type="spellStart"/>
      <w:r w:rsidRPr="00AA467A">
        <w:t>северо</w:t>
      </w:r>
      <w:proofErr w:type="spellEnd"/>
      <w:r w:rsidRPr="00AA467A">
        <w:t xml:space="preserve">–западе с </w:t>
      </w:r>
      <w:proofErr w:type="spellStart"/>
      <w:r w:rsidRPr="00AA467A">
        <w:t>Чойским</w:t>
      </w:r>
      <w:proofErr w:type="spellEnd"/>
      <w:r w:rsidRPr="00AA467A">
        <w:t xml:space="preserve"> районом и с Красногорским районом Алтайского края. Районный центр с. Турочак расположен в 150 км от республиканского центра</w:t>
      </w:r>
      <w:r w:rsidR="006C1D65">
        <w:t xml:space="preserve"> -</w:t>
      </w:r>
      <w:r w:rsidRPr="00AA467A">
        <w:t xml:space="preserve"> г. </w:t>
      </w:r>
      <w:proofErr w:type="spellStart"/>
      <w:r w:rsidRPr="00AA467A">
        <w:t>Горно</w:t>
      </w:r>
      <w:proofErr w:type="spellEnd"/>
      <w:r w:rsidRPr="00AA467A">
        <w:t>–</w:t>
      </w:r>
      <w:proofErr w:type="spellStart"/>
      <w:r w:rsidRPr="00AA467A">
        <w:t>Алтайска</w:t>
      </w:r>
      <w:proofErr w:type="spellEnd"/>
      <w:r w:rsidRPr="00AA467A">
        <w:t>, в 200 км от г. Бийска. В состав района входит 9 сельских поселений</w:t>
      </w:r>
      <w:r w:rsidR="00613629" w:rsidRPr="00AA467A">
        <w:t>,</w:t>
      </w:r>
      <w:r w:rsidR="006C1D65">
        <w:t xml:space="preserve"> на территории</w:t>
      </w:r>
      <w:r w:rsidRPr="00AA467A">
        <w:t xml:space="preserve"> которых расположен</w:t>
      </w:r>
      <w:r w:rsidR="006C1D65">
        <w:t>ы</w:t>
      </w:r>
      <w:r w:rsidRPr="00AA467A">
        <w:t xml:space="preserve"> 32 села:</w:t>
      </w:r>
    </w:p>
    <w:p w:rsidR="00F92565" w:rsidRPr="00AA467A" w:rsidRDefault="00F92565" w:rsidP="001F77AF">
      <w:pPr>
        <w:pStyle w:val="a4"/>
        <w:spacing w:before="60" w:afterLines="60" w:after="144"/>
        <w:ind w:firstLine="709"/>
        <w:jc w:val="both"/>
      </w:pPr>
      <w:r w:rsidRPr="00AA467A">
        <w:t>Земельный фонд в административных границах Турочакского района составляет 1106,014 тыс. гектаров или 11,85% от всей территории республики и на 98% покрыт лесом.</w:t>
      </w:r>
    </w:p>
    <w:p w:rsidR="00F92565" w:rsidRPr="00AA467A" w:rsidRDefault="00F92565" w:rsidP="001F77AF">
      <w:pPr>
        <w:pStyle w:val="a4"/>
        <w:spacing w:before="60" w:afterLines="60" w:after="144"/>
        <w:ind w:firstLine="709"/>
        <w:jc w:val="both"/>
      </w:pPr>
      <w:r w:rsidRPr="00AA467A">
        <w:t>Численность</w:t>
      </w:r>
      <w:r w:rsidR="00082A29" w:rsidRPr="00AA467A">
        <w:t xml:space="preserve"> постоянного населения района в </w:t>
      </w:r>
      <w:r w:rsidRPr="00AA467A">
        <w:t>201</w:t>
      </w:r>
      <w:r w:rsidR="00C218A5" w:rsidRPr="00AA467A">
        <w:t>5</w:t>
      </w:r>
      <w:r w:rsidR="00082A29" w:rsidRPr="00AA467A">
        <w:t xml:space="preserve"> </w:t>
      </w:r>
      <w:r w:rsidRPr="00AA467A">
        <w:t>год</w:t>
      </w:r>
      <w:r w:rsidR="00082A29" w:rsidRPr="00AA467A">
        <w:t>у</w:t>
      </w:r>
      <w:r w:rsidRPr="00AA467A">
        <w:t xml:space="preserve"> составила 123</w:t>
      </w:r>
      <w:r w:rsidR="00082A29" w:rsidRPr="00AA467A">
        <w:t>05</w:t>
      </w:r>
      <w:r w:rsidRPr="00AA467A">
        <w:t xml:space="preserve"> человек, около половины всего населения района сосредоточено в райцентре, а именно 5</w:t>
      </w:r>
      <w:r w:rsidR="00F40D0C" w:rsidRPr="00AA467A">
        <w:t>715</w:t>
      </w:r>
      <w:r w:rsidRPr="00AA467A">
        <w:t xml:space="preserve"> человек. За период 2014 года численность населения </w:t>
      </w:r>
      <w:r w:rsidR="00082A29" w:rsidRPr="00AA467A">
        <w:t xml:space="preserve">уменьшилась </w:t>
      </w:r>
      <w:r w:rsidRPr="00AA467A">
        <w:t xml:space="preserve">на </w:t>
      </w:r>
      <w:r w:rsidR="00082A29" w:rsidRPr="00AA467A">
        <w:t>61</w:t>
      </w:r>
      <w:r w:rsidRPr="00AA467A">
        <w:t xml:space="preserve"> человек</w:t>
      </w:r>
      <w:r w:rsidR="006C1D65">
        <w:t>а</w:t>
      </w:r>
      <w:r w:rsidRPr="00AA467A">
        <w:t>.</w:t>
      </w:r>
    </w:p>
    <w:p w:rsidR="00F92565" w:rsidRPr="00AA467A" w:rsidRDefault="00F92565" w:rsidP="001F77AF">
      <w:pPr>
        <w:spacing w:before="60" w:afterLines="60" w:after="144"/>
        <w:ind w:firstLine="709"/>
      </w:pPr>
    </w:p>
    <w:p w:rsidR="00F92565" w:rsidRPr="00AA467A" w:rsidRDefault="00F92565" w:rsidP="006C1D65">
      <w:pPr>
        <w:pStyle w:val="ConsPlusNormal"/>
        <w:widowControl/>
        <w:spacing w:before="60" w:afterLines="60" w:after="14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Экономическое развитие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A108E4">
        <w:rPr>
          <w:b/>
          <w:bCs/>
        </w:rPr>
        <w:t>п.</w:t>
      </w:r>
      <w:r w:rsidRPr="00AA467A">
        <w:rPr>
          <w:b/>
          <w:bCs/>
        </w:rPr>
        <w:t xml:space="preserve">1) </w:t>
      </w:r>
      <w:r w:rsidRPr="00AA467A">
        <w:t>Число субъектов малого и среднего предпринимательства на 10</w:t>
      </w:r>
      <w:r w:rsidR="006C1D65">
        <w:t xml:space="preserve"> тыс.</w:t>
      </w:r>
      <w:r w:rsidRPr="00AA467A">
        <w:t xml:space="preserve"> человек населения в 2015 году составило 385,</w:t>
      </w:r>
      <w:r w:rsidR="006C1D65">
        <w:t>863</w:t>
      </w:r>
      <w:r w:rsidRPr="00AA467A">
        <w:t xml:space="preserve"> единиц</w:t>
      </w:r>
      <w:r w:rsidR="006C1D65">
        <w:t>ы</w:t>
      </w:r>
      <w:r w:rsidRPr="00AA467A">
        <w:t>, что на 5,</w:t>
      </w:r>
      <w:r w:rsidR="006C1D65">
        <w:t>6% ниже уровня 2014 года или на 29</w:t>
      </w:r>
      <w:r w:rsidRPr="00AA467A">
        <w:t xml:space="preserve"> предпринимателей. В планируемом периоде 2016-2018 гг. предполагается рост числа субъектов малого предпринимательства</w:t>
      </w:r>
      <w:r w:rsidR="006C1D65">
        <w:t xml:space="preserve"> на 10 тыс. чел. населения до 387,097 ед. в 2016 году, 42</w:t>
      </w:r>
      <w:r w:rsidRPr="00AA467A">
        <w:t>2,</w:t>
      </w:r>
      <w:r w:rsidR="006C1D65">
        <w:t>7</w:t>
      </w:r>
      <w:r w:rsidRPr="00AA467A">
        <w:t>0</w:t>
      </w:r>
      <w:r w:rsidR="006C1D65">
        <w:t>5</w:t>
      </w:r>
      <w:r w:rsidRPr="00AA467A">
        <w:t xml:space="preserve"> ед. в 2016 году и 2018</w:t>
      </w:r>
      <w:r w:rsidR="006C1D65">
        <w:t xml:space="preserve"> г.</w:t>
      </w:r>
      <w:r w:rsidRPr="00AA467A">
        <w:t xml:space="preserve"> – 429,719 ед., в связи с реализацией государственной программы по поддержке и развитию малого и среднего предпринимательства и антикризисным планом мероприятий.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A108E4">
        <w:rPr>
          <w:b/>
          <w:bCs/>
        </w:rPr>
        <w:t>п.</w:t>
      </w:r>
      <w:r w:rsidRPr="00AA467A">
        <w:rPr>
          <w:b/>
          <w:bCs/>
        </w:rPr>
        <w:t>2</w:t>
      </w:r>
      <w:proofErr w:type="gramStart"/>
      <w:r w:rsidRPr="00AA467A">
        <w:rPr>
          <w:b/>
          <w:bCs/>
        </w:rPr>
        <w:t xml:space="preserve">) </w:t>
      </w:r>
      <w:r w:rsidRPr="00AA467A">
        <w:t xml:space="preserve"> Учитывая</w:t>
      </w:r>
      <w:proofErr w:type="gramEnd"/>
      <w:r w:rsidRPr="00AA467A">
        <w:t xml:space="preserve"> методику расчета показателя на основе данных сплошного статистического наблюдения за деятельностью СМСП и данные за 2015 год будут представлены в декабре 2016 года, приводятся данные за 2010 год.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t>Среднесписочная численность работников (без внешних совместителей) малых предприятий в 2015 году составила 499 человек</w:t>
      </w:r>
      <w:r w:rsidR="00A108E4">
        <w:t>,</w:t>
      </w:r>
      <w:r w:rsidRPr="00AA467A">
        <w:t xml:space="preserve"> увеличившись на 421 человек</w:t>
      </w:r>
      <w:r w:rsidR="00A108E4">
        <w:t>а</w:t>
      </w:r>
      <w:r w:rsidRPr="00AA467A">
        <w:t xml:space="preserve"> по отношению к 2014 году</w:t>
      </w:r>
      <w:r w:rsidR="00A108E4">
        <w:t>.</w:t>
      </w:r>
      <w:r w:rsidRPr="00AA467A">
        <w:t xml:space="preserve"> </w:t>
      </w:r>
      <w:r w:rsidR="00A108E4">
        <w:t>Р</w:t>
      </w:r>
      <w:r w:rsidRPr="00AA467A">
        <w:t>ост обусловлен проведением сплошного обследования субъектов малого и среднего предпринимательства;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t>Среднесписочная численность работников (без внешних совместителей) средних предприятий в 2015 году составила 5 человек;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t xml:space="preserve">Среднесписочная численность работников (без внешних совместителей) крупных и средних предприятий и некоммерческих организаций составила 2317 человек, рост к 2014 году составил 13,1%. 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t xml:space="preserve">Доля среднесписочной численности работников малых и средних предприятий в среднесписочной численности всех предприятий и организаций составила 17,898%. </w:t>
      </w:r>
    </w:p>
    <w:p w:rsidR="003313B2" w:rsidRPr="005D1D2D" w:rsidRDefault="000E0ED6" w:rsidP="003313B2">
      <w:pPr>
        <w:spacing w:before="60" w:afterLines="60" w:after="144"/>
        <w:ind w:firstLine="709"/>
        <w:jc w:val="both"/>
      </w:pPr>
      <w:r w:rsidRPr="005D1D2D">
        <w:rPr>
          <w:b/>
          <w:bCs/>
        </w:rPr>
        <w:t xml:space="preserve"> </w:t>
      </w:r>
      <w:r w:rsidR="003313B2" w:rsidRPr="005D1D2D">
        <w:rPr>
          <w:b/>
          <w:bCs/>
        </w:rPr>
        <w:t xml:space="preserve">(3) </w:t>
      </w:r>
      <w:r w:rsidR="003313B2" w:rsidRPr="005D1D2D">
        <w:t>Объем инвестиций в основной капитал (за исключение бюджетных средств) по организациям, не относящимся СМП, в</w:t>
      </w:r>
      <w:r w:rsidR="005D1D2D" w:rsidRPr="005D1D2D">
        <w:t xml:space="preserve"> </w:t>
      </w:r>
      <w:r w:rsidR="003313B2" w:rsidRPr="005D1D2D">
        <w:t>расчете на 1 жителя в 2015 году составил 17624,189 рублей, что по отношению к 2014 году</w:t>
      </w:r>
      <w:r w:rsidR="00A108E4">
        <w:t xml:space="preserve"> темп роста</w:t>
      </w:r>
      <w:r w:rsidR="003313B2" w:rsidRPr="005D1D2D">
        <w:t xml:space="preserve"> составил 502%. В 2016 году прогнозируется увеличение объема инвестиций (за исключением бюджетных) до 26963,387 рублей в расчете на 1 жителя.</w:t>
      </w:r>
    </w:p>
    <w:p w:rsidR="003313B2" w:rsidRPr="005D1D2D" w:rsidRDefault="003313B2" w:rsidP="003313B2">
      <w:pPr>
        <w:ind w:firstLine="709"/>
        <w:jc w:val="both"/>
        <w:outlineLvl w:val="0"/>
      </w:pPr>
      <w:r w:rsidRPr="005D1D2D">
        <w:t xml:space="preserve">В 2016 году будут реализовываться такие проекты как: строительство горнолыжного комплекса в рамках кластера «Золоте озеро», организации сбора </w:t>
      </w:r>
      <w:proofErr w:type="spellStart"/>
      <w:r w:rsidRPr="005D1D2D">
        <w:t>лектехсырья</w:t>
      </w:r>
      <w:proofErr w:type="spellEnd"/>
      <w:r w:rsidRPr="005D1D2D">
        <w:t xml:space="preserve"> на базе </w:t>
      </w:r>
      <w:proofErr w:type="spellStart"/>
      <w:r w:rsidRPr="005D1D2D">
        <w:t>СПоК</w:t>
      </w:r>
      <w:proofErr w:type="spellEnd"/>
      <w:r w:rsidRPr="005D1D2D">
        <w:t xml:space="preserve"> «Минор» (с. </w:t>
      </w:r>
      <w:proofErr w:type="spellStart"/>
      <w:r w:rsidRPr="005D1D2D">
        <w:t>Бийка</w:t>
      </w:r>
      <w:proofErr w:type="spellEnd"/>
      <w:r w:rsidRPr="005D1D2D">
        <w:t xml:space="preserve">), реконструкция школы в с. Турочак, окончание строительства гостиницы </w:t>
      </w:r>
      <w:r w:rsidRPr="005D1D2D">
        <w:lastRenderedPageBreak/>
        <w:t xml:space="preserve">на к. </w:t>
      </w:r>
      <w:proofErr w:type="spellStart"/>
      <w:r w:rsidRPr="005D1D2D">
        <w:t>Самыш</w:t>
      </w:r>
      <w:proofErr w:type="spellEnd"/>
      <w:r w:rsidRPr="005D1D2D">
        <w:t>. В мае 2016 года администрация района будет участвовать в ярмарке инвестиционных проектов с презентацией вышеперечисленных проектов. Кроме того, на Инвестиционном портале Республики Алтай размещено 12 инвестиционных площадок и 3 проекта сопровождаются БУ РА «Агентство сопровождения инвестиционных проектов в муниципальных образованиях Республики Алтай».</w:t>
      </w:r>
    </w:p>
    <w:p w:rsidR="00F92565" w:rsidRPr="005D1D2D" w:rsidRDefault="00F92565" w:rsidP="001F77AF">
      <w:pPr>
        <w:spacing w:before="60" w:afterLines="60" w:after="144"/>
        <w:ind w:firstLine="709"/>
        <w:jc w:val="both"/>
      </w:pPr>
      <w:r w:rsidRPr="005D1D2D">
        <w:rPr>
          <w:b/>
          <w:bCs/>
        </w:rPr>
        <w:t>(</w:t>
      </w:r>
      <w:r w:rsidR="007A7BE3" w:rsidRPr="005D1D2D">
        <w:rPr>
          <w:b/>
          <w:bCs/>
        </w:rPr>
        <w:t>п.</w:t>
      </w:r>
      <w:r w:rsidRPr="005D1D2D">
        <w:rPr>
          <w:b/>
          <w:bCs/>
        </w:rPr>
        <w:t>4</w:t>
      </w:r>
      <w:proofErr w:type="gramStart"/>
      <w:r w:rsidRPr="005D1D2D">
        <w:rPr>
          <w:b/>
          <w:bCs/>
        </w:rPr>
        <w:t xml:space="preserve">) </w:t>
      </w:r>
      <w:r w:rsidRPr="005D1D2D">
        <w:t xml:space="preserve"> Площадь</w:t>
      </w:r>
      <w:proofErr w:type="gramEnd"/>
      <w:r w:rsidRPr="005D1D2D">
        <w:t xml:space="preserve"> земельных участков, являющихся объектами налогообложения земельным налогом составила </w:t>
      </w:r>
      <w:r w:rsidR="003313B2" w:rsidRPr="005D1D2D">
        <w:t>198686</w:t>
      </w:r>
      <w:r w:rsidRPr="005D1D2D">
        <w:t xml:space="preserve"> га. </w:t>
      </w:r>
      <w:r w:rsidR="00606F13" w:rsidRPr="005D1D2D">
        <w:t>Снижение к уровню 2014 года объясняется исключением земель лесного фонда (843317 га), земель особо</w:t>
      </w:r>
      <w:r w:rsidR="00A108E4">
        <w:t xml:space="preserve"> </w:t>
      </w:r>
      <w:r w:rsidR="00606F13" w:rsidRPr="005D1D2D">
        <w:t>охраняемых территорий (95 га</w:t>
      </w:r>
      <w:r w:rsidR="00EB56F5" w:rsidRPr="005D1D2D">
        <w:t xml:space="preserve">), земель запаса (48511 га) и иных категорий (10891 га) из общей территории Турочакского района, которые не облагаются земельным налогом. </w:t>
      </w:r>
      <w:r w:rsidRPr="005D1D2D">
        <w:t xml:space="preserve">Доля площади земельных участков, являющихся объектами налогообложения земельным налогом, в общей площади территории Турочакского района составила </w:t>
      </w:r>
      <w:r w:rsidR="00A108E4" w:rsidRPr="00A108E4">
        <w:t>18,038</w:t>
      </w:r>
      <w:r w:rsidRPr="005D1D2D">
        <w:t xml:space="preserve"> процентов.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0455A9">
        <w:rPr>
          <w:b/>
          <w:bCs/>
        </w:rPr>
        <w:t>п.</w:t>
      </w:r>
      <w:r w:rsidRPr="00AA467A">
        <w:rPr>
          <w:b/>
          <w:bCs/>
        </w:rPr>
        <w:t xml:space="preserve">5) </w:t>
      </w:r>
      <w:r w:rsidRPr="00AA467A">
        <w:t xml:space="preserve">На территории района осуществляет деятельность 2 сельскохозяйственных организации (СПК «Артель «Турочак» и </w:t>
      </w:r>
      <w:proofErr w:type="spellStart"/>
      <w:r w:rsidRPr="00AA467A">
        <w:t>СПоК</w:t>
      </w:r>
      <w:proofErr w:type="spellEnd"/>
      <w:r w:rsidRPr="00AA467A">
        <w:t xml:space="preserve"> «Минор»). Доля прибыльных сельскохозяйственных организации составила 100%. В плановый период 2016-2018 годов доля прибыльных сельскохозяйственных предприятий</w:t>
      </w:r>
      <w:r w:rsidR="000455A9">
        <w:t>,</w:t>
      </w:r>
      <w:r w:rsidRPr="00AA467A">
        <w:t xml:space="preserve"> в общем их числе</w:t>
      </w:r>
      <w:r w:rsidR="000455A9">
        <w:t>,</w:t>
      </w:r>
      <w:r w:rsidRPr="00AA467A">
        <w:t xml:space="preserve"> составит 100%.</w:t>
      </w:r>
    </w:p>
    <w:p w:rsidR="000E0ED6" w:rsidRPr="00AA467A" w:rsidRDefault="000E0ED6" w:rsidP="000E0ED6">
      <w:pPr>
        <w:spacing w:before="60" w:afterLines="60" w:after="144"/>
        <w:ind w:firstLine="709"/>
        <w:jc w:val="both"/>
      </w:pPr>
      <w:r w:rsidRPr="00AA467A">
        <w:t xml:space="preserve">Объем продукции сельского хозяйства во всех категориях хозяйств за 2015 год в фактически действовавших ценах составил 297,0 млн. рублей, к уровню прошлого года </w:t>
      </w:r>
      <w:r w:rsidR="000455A9">
        <w:t xml:space="preserve">темп роста </w:t>
      </w:r>
      <w:r w:rsidRPr="00AA467A">
        <w:t xml:space="preserve">составил 108,9%, в том числе произведено сельхозпродукции по растениеводству на сумму 119,1 млн. руб. и по животноводству на сумму 177,9 млн. руб. </w:t>
      </w:r>
    </w:p>
    <w:p w:rsidR="00790C0C" w:rsidRPr="00AA467A" w:rsidRDefault="000E0ED6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 xml:space="preserve"> </w:t>
      </w:r>
      <w:r w:rsidR="00790C0C" w:rsidRPr="00AA467A">
        <w:rPr>
          <w:b/>
          <w:bCs/>
        </w:rPr>
        <w:t>(</w:t>
      </w:r>
      <w:r w:rsidR="007A7BE3" w:rsidRPr="00AA467A">
        <w:rPr>
          <w:b/>
          <w:bCs/>
        </w:rPr>
        <w:t>п.</w:t>
      </w:r>
      <w:r w:rsidR="00790C0C" w:rsidRPr="00AA467A">
        <w:rPr>
          <w:b/>
          <w:bCs/>
        </w:rPr>
        <w:t>6</w:t>
      </w:r>
      <w:proofErr w:type="gramStart"/>
      <w:r w:rsidR="00790C0C" w:rsidRPr="00AA467A">
        <w:rPr>
          <w:b/>
          <w:bCs/>
        </w:rPr>
        <w:t xml:space="preserve">) </w:t>
      </w:r>
      <w:r w:rsidR="00790C0C" w:rsidRPr="00AA467A">
        <w:t xml:space="preserve"> Протяженность</w:t>
      </w:r>
      <w:proofErr w:type="gramEnd"/>
      <w:r w:rsidR="00790C0C" w:rsidRPr="00AA467A">
        <w:t xml:space="preserve"> дорог общего пользования местного значения в Турочакском районе Республики Алтай на конец отчетного периода 2015 года составила 313,8 км, из них не отвечают нормативным требованиям 302,3 км (96,3%). По сравнению с показателями 2014 года протяженность дорог увеличилась на 106,1 км (Дмитриевское, </w:t>
      </w:r>
      <w:proofErr w:type="spellStart"/>
      <w:r w:rsidR="00790C0C" w:rsidRPr="00AA467A">
        <w:t>Кебезенское</w:t>
      </w:r>
      <w:proofErr w:type="spellEnd"/>
      <w:r w:rsidR="00790C0C" w:rsidRPr="00AA467A">
        <w:t xml:space="preserve"> и Турочакское сельские поселения</w:t>
      </w:r>
      <w:r w:rsidR="00613629" w:rsidRPr="00AA467A">
        <w:t>)</w:t>
      </w:r>
      <w:r w:rsidR="00790C0C" w:rsidRPr="00AA467A">
        <w:t>. Это связано с работой, проведенной в 2015 году по составлению реестра дорог МО «Турочакский район». По итогам проведенной работы составлены и утверждены соответствующими нормативно-правовыми актами перечни дорог общего пользования местного значения и составлены информационные карты автомобильных дорог с присвоением идентификационного номера.</w:t>
      </w:r>
    </w:p>
    <w:p w:rsidR="00F92565" w:rsidRPr="00AA467A" w:rsidRDefault="009E3F7F" w:rsidP="001F77AF">
      <w:pPr>
        <w:spacing w:before="60" w:afterLines="60" w:after="144"/>
        <w:ind w:firstLine="709"/>
        <w:jc w:val="both"/>
      </w:pPr>
      <w:r w:rsidRPr="00AA467A">
        <w:t>Д</w:t>
      </w:r>
      <w:r w:rsidR="00F92565" w:rsidRPr="00AA467A">
        <w:t xml:space="preserve">оля </w:t>
      </w:r>
      <w:r w:rsidR="00790C0C" w:rsidRPr="00AA467A">
        <w:t>дорог общего пользования местного значения в Турочакском районе</w:t>
      </w:r>
      <w:r w:rsidR="000455A9">
        <w:t>,</w:t>
      </w:r>
      <w:r w:rsidR="00790C0C" w:rsidRPr="00AA467A">
        <w:t xml:space="preserve"> не отвечаю</w:t>
      </w:r>
      <w:r w:rsidR="00613629" w:rsidRPr="00AA467A">
        <w:t>щих</w:t>
      </w:r>
      <w:r w:rsidR="00790C0C" w:rsidRPr="00AA467A">
        <w:t xml:space="preserve"> нормативным требованиям</w:t>
      </w:r>
      <w:r w:rsidR="000455A9">
        <w:t>,</w:t>
      </w:r>
      <w:r w:rsidR="00790C0C" w:rsidRPr="00AA467A">
        <w:t xml:space="preserve"> в </w:t>
      </w:r>
      <w:r w:rsidR="00F92565" w:rsidRPr="00AA467A">
        <w:t>201</w:t>
      </w:r>
      <w:r w:rsidRPr="00AA467A">
        <w:t>8</w:t>
      </w:r>
      <w:r w:rsidR="00F92565" w:rsidRPr="00AA467A">
        <w:t xml:space="preserve"> году </w:t>
      </w:r>
      <w:r w:rsidRPr="00AA467A">
        <w:t xml:space="preserve">составит </w:t>
      </w:r>
      <w:r w:rsidR="00790C0C" w:rsidRPr="00AA467A">
        <w:t>313,5 км (96,46</w:t>
      </w:r>
      <w:r w:rsidRPr="00AA467A">
        <w:t>%</w:t>
      </w:r>
      <w:r w:rsidR="00790C0C" w:rsidRPr="00AA467A">
        <w:t>)</w:t>
      </w:r>
      <w:r w:rsidR="00F92565" w:rsidRPr="00AA467A">
        <w:t>.</w:t>
      </w:r>
    </w:p>
    <w:p w:rsidR="00790C0C" w:rsidRPr="00AA467A" w:rsidRDefault="00790C0C" w:rsidP="001F77AF">
      <w:pPr>
        <w:spacing w:before="60" w:afterLines="60" w:after="144"/>
        <w:ind w:firstLine="720"/>
        <w:jc w:val="both"/>
        <w:rPr>
          <w:b/>
          <w:bCs/>
        </w:rPr>
      </w:pPr>
      <w:r w:rsidRPr="00AA467A">
        <w:rPr>
          <w:b/>
          <w:bCs/>
        </w:rPr>
        <w:t>(</w:t>
      </w:r>
      <w:r w:rsidR="007A7BE3" w:rsidRPr="00AA467A">
        <w:rPr>
          <w:b/>
          <w:bCs/>
        </w:rPr>
        <w:t>п.</w:t>
      </w:r>
      <w:r w:rsidRPr="00AA467A">
        <w:rPr>
          <w:b/>
          <w:bCs/>
        </w:rPr>
        <w:t>7</w:t>
      </w:r>
      <w:proofErr w:type="gramStart"/>
      <w:r w:rsidRPr="00AA467A">
        <w:rPr>
          <w:b/>
          <w:bCs/>
        </w:rPr>
        <w:t xml:space="preserve">) </w:t>
      </w:r>
      <w:r w:rsidRPr="00AA467A">
        <w:t xml:space="preserve"> Среднегодовая</w:t>
      </w:r>
      <w:proofErr w:type="gramEnd"/>
      <w:r w:rsidRPr="00AA467A">
        <w:t xml:space="preserve"> численность населения, проживающего в населенных пунктах, имеющих регулярное автобусное сообщение с административным центром Турочакского района, составила 11679 человек. Доля населения, проживающего в населенных пунктах, не имеющих регулярного автобусного сообщения, составила 5,</w:t>
      </w:r>
      <w:r w:rsidR="000455A9">
        <w:t>3</w:t>
      </w:r>
      <w:r w:rsidRPr="00AA467A">
        <w:t xml:space="preserve">% от общей численности населения района, а именно Майское сельское поселение, </w:t>
      </w:r>
      <w:proofErr w:type="spellStart"/>
      <w:r w:rsidRPr="00AA467A">
        <w:t>Курмач</w:t>
      </w:r>
      <w:proofErr w:type="spellEnd"/>
      <w:r w:rsidR="000455A9">
        <w:t xml:space="preserve"> </w:t>
      </w:r>
      <w:r w:rsidRPr="00AA467A">
        <w:t>-</w:t>
      </w:r>
      <w:r w:rsidR="000455A9">
        <w:t xml:space="preserve"> </w:t>
      </w:r>
      <w:proofErr w:type="spellStart"/>
      <w:r w:rsidRPr="00AA467A">
        <w:t>Байгольское</w:t>
      </w:r>
      <w:proofErr w:type="spellEnd"/>
      <w:r w:rsidRPr="00AA467A">
        <w:t xml:space="preserve"> сельское поселение и с.</w:t>
      </w:r>
      <w:r w:rsidR="000455A9">
        <w:t xml:space="preserve"> </w:t>
      </w:r>
      <w:proofErr w:type="spellStart"/>
      <w:r w:rsidRPr="00AA467A">
        <w:t>Сюря</w:t>
      </w:r>
      <w:proofErr w:type="spellEnd"/>
      <w:r w:rsidRPr="00AA467A">
        <w:t xml:space="preserve">, Огни, Ново-Троицк, </w:t>
      </w:r>
      <w:proofErr w:type="spellStart"/>
      <w:r w:rsidRPr="00AA467A">
        <w:t>Яйлю</w:t>
      </w:r>
      <w:proofErr w:type="spellEnd"/>
      <w:r w:rsidRPr="00AA467A">
        <w:t xml:space="preserve">, Советский </w:t>
      </w:r>
      <w:proofErr w:type="spellStart"/>
      <w:r w:rsidRPr="00AA467A">
        <w:t>Байгол</w:t>
      </w:r>
      <w:proofErr w:type="spellEnd"/>
      <w:r w:rsidRPr="00AA467A">
        <w:t xml:space="preserve"> с общей численностью 626 человек. К 2017 году доля населения, проживающего в населенных пунктах, имеющих регулярно</w:t>
      </w:r>
      <w:r w:rsidR="000455A9">
        <w:t>е</w:t>
      </w:r>
      <w:r w:rsidRPr="00AA467A">
        <w:t xml:space="preserve"> </w:t>
      </w:r>
      <w:r w:rsidRPr="00AA467A">
        <w:rPr>
          <w:color w:val="000000"/>
        </w:rPr>
        <w:t>автобусно</w:t>
      </w:r>
      <w:r w:rsidR="000455A9">
        <w:rPr>
          <w:color w:val="000000"/>
        </w:rPr>
        <w:t>е</w:t>
      </w:r>
      <w:r w:rsidRPr="00AA467A">
        <w:rPr>
          <w:color w:val="000000"/>
        </w:rPr>
        <w:t xml:space="preserve"> сообщени</w:t>
      </w:r>
      <w:r w:rsidR="000455A9">
        <w:rPr>
          <w:color w:val="000000"/>
        </w:rPr>
        <w:t>е</w:t>
      </w:r>
      <w:r w:rsidRPr="00AA467A">
        <w:rPr>
          <w:color w:val="000000"/>
        </w:rPr>
        <w:t>, уменьшится на 0,05% в основном за счет миграции населения внутри района и в связи с увеличением роста среднегодовой численности населения.</w:t>
      </w:r>
      <w:r w:rsidRPr="00AA467A">
        <w:rPr>
          <w:b/>
          <w:bCs/>
        </w:rPr>
        <w:t xml:space="preserve"> </w:t>
      </w:r>
    </w:p>
    <w:p w:rsidR="00F92565" w:rsidRPr="00AA467A" w:rsidRDefault="00F92565" w:rsidP="001F77AF">
      <w:pPr>
        <w:spacing w:before="60" w:afterLines="60" w:after="144"/>
        <w:ind w:firstLine="709"/>
        <w:jc w:val="both"/>
      </w:pPr>
      <w:proofErr w:type="gramStart"/>
      <w:r w:rsidRPr="00AA467A">
        <w:rPr>
          <w:b/>
          <w:bCs/>
        </w:rPr>
        <w:t>(</w:t>
      </w:r>
      <w:r w:rsidR="00790C0C" w:rsidRPr="00AA467A">
        <w:rPr>
          <w:b/>
          <w:bCs/>
        </w:rPr>
        <w:t xml:space="preserve"> </w:t>
      </w:r>
      <w:r w:rsidR="007A7BE3" w:rsidRPr="00AA467A">
        <w:rPr>
          <w:b/>
          <w:bCs/>
        </w:rPr>
        <w:t>п.</w:t>
      </w:r>
      <w:proofErr w:type="gramEnd"/>
      <w:r w:rsidRPr="00AA467A">
        <w:rPr>
          <w:b/>
          <w:bCs/>
        </w:rPr>
        <w:t xml:space="preserve">8) </w:t>
      </w:r>
      <w:r w:rsidRPr="00AA467A">
        <w:t>Среднемесячная номинальная начисленная заработная плата работников:</w:t>
      </w:r>
    </w:p>
    <w:p w:rsidR="00F92565" w:rsidRPr="00AA467A" w:rsidRDefault="00F92565" w:rsidP="001F77AF">
      <w:pPr>
        <w:spacing w:afterLines="60" w:after="144"/>
        <w:ind w:firstLine="709"/>
        <w:jc w:val="both"/>
      </w:pPr>
      <w:r w:rsidRPr="00AA467A">
        <w:t>- крупных и средних предприятий и некоммерческих организаций в 201</w:t>
      </w:r>
      <w:r w:rsidR="004809F7" w:rsidRPr="00AA467A">
        <w:t>5</w:t>
      </w:r>
      <w:r w:rsidRPr="00AA467A">
        <w:t xml:space="preserve"> году составила </w:t>
      </w:r>
      <w:r w:rsidR="004809F7" w:rsidRPr="00AA467A">
        <w:t xml:space="preserve">19995,0 </w:t>
      </w:r>
      <w:r w:rsidRPr="00AA467A">
        <w:t>рублей, темп роста к 201</w:t>
      </w:r>
      <w:r w:rsidR="004809F7" w:rsidRPr="00AA467A">
        <w:t>4</w:t>
      </w:r>
      <w:r w:rsidRPr="00AA467A">
        <w:t xml:space="preserve"> году – 1</w:t>
      </w:r>
      <w:r w:rsidR="004809F7" w:rsidRPr="00AA467A">
        <w:t>04,6</w:t>
      </w:r>
      <w:r w:rsidRPr="00AA467A">
        <w:t xml:space="preserve">%. </w:t>
      </w:r>
      <w:r w:rsidR="00254A05" w:rsidRPr="00AA467A">
        <w:t>Рост произошел за счет проведения мероприятий по оптимизации численности работников.</w:t>
      </w:r>
    </w:p>
    <w:p w:rsidR="00F92565" w:rsidRPr="00AA467A" w:rsidRDefault="00F92565" w:rsidP="001F77AF">
      <w:pPr>
        <w:pStyle w:val="Style129"/>
        <w:widowControl/>
        <w:spacing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В прогнозе на плановые периоды 201</w:t>
      </w:r>
      <w:r w:rsidR="000455A9">
        <w:rPr>
          <w:rStyle w:val="FontStyle299"/>
        </w:rPr>
        <w:t>6</w:t>
      </w:r>
      <w:r w:rsidRPr="00AA467A">
        <w:rPr>
          <w:rStyle w:val="FontStyle299"/>
        </w:rPr>
        <w:t>-201</w:t>
      </w:r>
      <w:r w:rsidR="000455A9">
        <w:rPr>
          <w:rStyle w:val="FontStyle299"/>
        </w:rPr>
        <w:t xml:space="preserve">8 </w:t>
      </w:r>
      <w:r w:rsidRPr="00AA467A">
        <w:rPr>
          <w:rStyle w:val="FontStyle299"/>
        </w:rPr>
        <w:t xml:space="preserve">гг. намечается рост </w:t>
      </w:r>
      <w:r w:rsidRPr="00AA467A">
        <w:t>заработной платы</w:t>
      </w:r>
      <w:r w:rsidRPr="00AA467A">
        <w:rPr>
          <w:rStyle w:val="FontStyle299"/>
        </w:rPr>
        <w:t>:</w:t>
      </w:r>
    </w:p>
    <w:p w:rsidR="00F92565" w:rsidRPr="00AA467A" w:rsidRDefault="00F92565" w:rsidP="001F77AF">
      <w:pPr>
        <w:pStyle w:val="Style129"/>
        <w:widowControl/>
        <w:spacing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в 201</w:t>
      </w:r>
      <w:r w:rsidR="004809F7" w:rsidRPr="00AA467A">
        <w:rPr>
          <w:rStyle w:val="FontStyle299"/>
        </w:rPr>
        <w:t>6</w:t>
      </w:r>
      <w:r w:rsidR="000455A9">
        <w:rPr>
          <w:rStyle w:val="FontStyle299"/>
        </w:rPr>
        <w:t xml:space="preserve"> </w:t>
      </w:r>
      <w:r w:rsidRPr="00AA467A">
        <w:rPr>
          <w:rStyle w:val="FontStyle299"/>
        </w:rPr>
        <w:t>г</w:t>
      </w:r>
      <w:r w:rsidR="000455A9">
        <w:rPr>
          <w:rStyle w:val="FontStyle299"/>
        </w:rPr>
        <w:t>.</w:t>
      </w:r>
      <w:r w:rsidRPr="00AA467A">
        <w:rPr>
          <w:rStyle w:val="FontStyle299"/>
        </w:rPr>
        <w:t>-</w:t>
      </w:r>
      <w:r w:rsidR="004809F7" w:rsidRPr="00AA467A">
        <w:rPr>
          <w:rStyle w:val="FontStyle299"/>
        </w:rPr>
        <w:t>20000</w:t>
      </w:r>
      <w:r w:rsidRPr="00AA467A">
        <w:rPr>
          <w:rStyle w:val="FontStyle299"/>
        </w:rPr>
        <w:t>,00 руб.</w:t>
      </w:r>
    </w:p>
    <w:p w:rsidR="00F92565" w:rsidRPr="00AA467A" w:rsidRDefault="00F92565" w:rsidP="001F77AF">
      <w:pPr>
        <w:pStyle w:val="Style129"/>
        <w:widowControl/>
        <w:spacing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в 201</w:t>
      </w:r>
      <w:r w:rsidR="004809F7" w:rsidRPr="00AA467A">
        <w:rPr>
          <w:rStyle w:val="FontStyle299"/>
        </w:rPr>
        <w:t>7</w:t>
      </w:r>
      <w:r w:rsidR="000455A9">
        <w:rPr>
          <w:rStyle w:val="FontStyle299"/>
        </w:rPr>
        <w:t xml:space="preserve"> </w:t>
      </w:r>
      <w:r w:rsidRPr="00AA467A">
        <w:rPr>
          <w:rStyle w:val="FontStyle299"/>
        </w:rPr>
        <w:t>г</w:t>
      </w:r>
      <w:r w:rsidR="000455A9">
        <w:rPr>
          <w:rStyle w:val="FontStyle299"/>
        </w:rPr>
        <w:t>.</w:t>
      </w:r>
      <w:r w:rsidRPr="00AA467A">
        <w:rPr>
          <w:rStyle w:val="FontStyle299"/>
        </w:rPr>
        <w:t>-</w:t>
      </w:r>
      <w:r w:rsidR="004809F7" w:rsidRPr="00AA467A">
        <w:rPr>
          <w:rStyle w:val="FontStyle299"/>
        </w:rPr>
        <w:t>21000</w:t>
      </w:r>
      <w:r w:rsidRPr="00AA467A">
        <w:rPr>
          <w:rStyle w:val="FontStyle299"/>
        </w:rPr>
        <w:t>,00 руб.</w:t>
      </w:r>
    </w:p>
    <w:p w:rsidR="00F92565" w:rsidRPr="00AA467A" w:rsidRDefault="00F92565" w:rsidP="001F77AF">
      <w:pPr>
        <w:pStyle w:val="Style129"/>
        <w:widowControl/>
        <w:spacing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в 201</w:t>
      </w:r>
      <w:r w:rsidR="004809F7" w:rsidRPr="00AA467A">
        <w:rPr>
          <w:rStyle w:val="FontStyle299"/>
        </w:rPr>
        <w:t>8</w:t>
      </w:r>
      <w:r w:rsidR="000455A9">
        <w:rPr>
          <w:rStyle w:val="FontStyle299"/>
        </w:rPr>
        <w:t xml:space="preserve"> </w:t>
      </w:r>
      <w:r w:rsidRPr="00AA467A">
        <w:rPr>
          <w:rStyle w:val="FontStyle299"/>
        </w:rPr>
        <w:t>г</w:t>
      </w:r>
      <w:r w:rsidR="000455A9">
        <w:rPr>
          <w:rStyle w:val="FontStyle299"/>
        </w:rPr>
        <w:t>.</w:t>
      </w:r>
      <w:r w:rsidRPr="00AA467A">
        <w:rPr>
          <w:rStyle w:val="FontStyle299"/>
        </w:rPr>
        <w:t>-</w:t>
      </w:r>
      <w:r w:rsidR="004809F7" w:rsidRPr="00AA467A">
        <w:rPr>
          <w:rStyle w:val="FontStyle299"/>
        </w:rPr>
        <w:t>22050</w:t>
      </w:r>
      <w:r w:rsidRPr="00AA467A">
        <w:rPr>
          <w:rStyle w:val="FontStyle299"/>
        </w:rPr>
        <w:t>,00 руб.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lastRenderedPageBreak/>
        <w:t>- в муниципальных дошкольных образовательных учреждени</w:t>
      </w:r>
      <w:r w:rsidR="007A7BE3" w:rsidRPr="00AA467A">
        <w:t>ях</w:t>
      </w:r>
      <w:r w:rsidRPr="00AA467A">
        <w:t xml:space="preserve"> </w:t>
      </w:r>
      <w:proofErr w:type="gramStart"/>
      <w:r w:rsidRPr="00AA467A">
        <w:t>района  средняя</w:t>
      </w:r>
      <w:proofErr w:type="gramEnd"/>
      <w:r w:rsidRPr="00AA467A">
        <w:t xml:space="preserve"> зарплата работников составила 14 330,10 рублей;</w:t>
      </w:r>
    </w:p>
    <w:p w:rsidR="002259E5" w:rsidRDefault="002259E5" w:rsidP="0090463E">
      <w:pPr>
        <w:spacing w:afterLines="60" w:after="144"/>
        <w:ind w:firstLine="709"/>
        <w:jc w:val="both"/>
      </w:pPr>
      <w:r w:rsidRPr="00AA467A">
        <w:t>-   в муниципальных общеобразовательных учреждениях 17 575,10 рублей</w:t>
      </w:r>
      <w:r w:rsidR="007A7BE3" w:rsidRPr="00AA467A">
        <w:t>,</w:t>
      </w:r>
      <w:r w:rsidRPr="00AA467A">
        <w:t xml:space="preserve"> темп роста к 2014 году 3,2%; в том числе учителей муниципальных общеобразовательных учреждений – 20284,9 рублей, темп роста к 2014 году составил 102,7%.</w:t>
      </w:r>
    </w:p>
    <w:p w:rsidR="0090463E" w:rsidRPr="00AA467A" w:rsidRDefault="0090463E" w:rsidP="0090463E">
      <w:pPr>
        <w:spacing w:before="60" w:afterLines="60" w:after="144"/>
        <w:ind w:firstLine="709"/>
        <w:jc w:val="both"/>
      </w:pPr>
      <w:r w:rsidRPr="00AA467A">
        <w:t xml:space="preserve">- </w:t>
      </w:r>
      <w:r>
        <w:t>учителей</w:t>
      </w:r>
      <w:r w:rsidRPr="00AA467A">
        <w:t xml:space="preserve"> муниципальных общеобразовательных учреждениях - 20 284,90 рублей, темп роста к 2014 году –19 1%;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В течение планового периода 2016-2018 годов также ожидается рост заработной платы.</w:t>
      </w:r>
    </w:p>
    <w:p w:rsidR="00F92565" w:rsidRPr="00AA467A" w:rsidRDefault="00F92565" w:rsidP="001F77AF">
      <w:pPr>
        <w:pStyle w:val="Style129"/>
        <w:widowControl/>
        <w:spacing w:afterLines="60" w:after="144" w:line="240" w:lineRule="auto"/>
        <w:ind w:firstLine="709"/>
        <w:rPr>
          <w:rStyle w:val="FontStyle299"/>
        </w:rPr>
      </w:pPr>
      <w:r w:rsidRPr="00AA467A">
        <w:t xml:space="preserve">- </w:t>
      </w:r>
      <w:r w:rsidRPr="00AA467A">
        <w:rPr>
          <w:rStyle w:val="FontStyle299"/>
        </w:rPr>
        <w:t>По итогам 201</w:t>
      </w:r>
      <w:r w:rsidR="00FC1F19" w:rsidRPr="00AA467A">
        <w:rPr>
          <w:rStyle w:val="FontStyle299"/>
        </w:rPr>
        <w:t>5</w:t>
      </w:r>
      <w:r w:rsidR="007A7BE3" w:rsidRPr="00AA467A">
        <w:rPr>
          <w:rStyle w:val="FontStyle299"/>
        </w:rPr>
        <w:t xml:space="preserve"> </w:t>
      </w:r>
      <w:r w:rsidRPr="00AA467A">
        <w:rPr>
          <w:rStyle w:val="FontStyle299"/>
        </w:rPr>
        <w:t xml:space="preserve">г. </w:t>
      </w:r>
      <w:r w:rsidRPr="00AA467A">
        <w:rPr>
          <w:rStyle w:val="FontStyle299"/>
          <w:i/>
          <w:iCs/>
        </w:rPr>
        <w:t xml:space="preserve">среднемесячная номинальная начисленная заработная плата муниципальных учреждений </w:t>
      </w:r>
      <w:r w:rsidRPr="00AA467A">
        <w:rPr>
          <w:rStyle w:val="FontStyle299"/>
          <w:i/>
          <w:iCs/>
          <w:color w:val="000000"/>
        </w:rPr>
        <w:t xml:space="preserve">культуры и искусства </w:t>
      </w:r>
      <w:r w:rsidRPr="00AA467A">
        <w:rPr>
          <w:rStyle w:val="FontStyle299"/>
          <w:color w:val="000000"/>
        </w:rPr>
        <w:t>составила 14</w:t>
      </w:r>
      <w:r w:rsidR="00FC1F19" w:rsidRPr="00AA467A">
        <w:rPr>
          <w:rStyle w:val="FontStyle299"/>
          <w:color w:val="000000"/>
        </w:rPr>
        <w:t>696,3</w:t>
      </w:r>
      <w:r w:rsidRPr="00AA467A">
        <w:rPr>
          <w:rStyle w:val="FontStyle299"/>
          <w:color w:val="000000"/>
        </w:rPr>
        <w:t xml:space="preserve"> руб. (в 201</w:t>
      </w:r>
      <w:r w:rsidR="00FC1F19" w:rsidRPr="00AA467A">
        <w:rPr>
          <w:rStyle w:val="FontStyle299"/>
          <w:color w:val="000000"/>
        </w:rPr>
        <w:t>4</w:t>
      </w:r>
      <w:r w:rsidR="007A7BE3" w:rsidRPr="00AA467A">
        <w:rPr>
          <w:rStyle w:val="FontStyle299"/>
          <w:color w:val="000000"/>
        </w:rPr>
        <w:t xml:space="preserve"> </w:t>
      </w:r>
      <w:r w:rsidRPr="00AA467A">
        <w:rPr>
          <w:rStyle w:val="FontStyle299"/>
          <w:color w:val="000000"/>
        </w:rPr>
        <w:t>г.-1</w:t>
      </w:r>
      <w:r w:rsidR="00FC1F19" w:rsidRPr="00AA467A">
        <w:rPr>
          <w:rStyle w:val="FontStyle299"/>
          <w:color w:val="000000"/>
        </w:rPr>
        <w:t>4254,9</w:t>
      </w:r>
      <w:r w:rsidRPr="00AA467A">
        <w:rPr>
          <w:rStyle w:val="FontStyle299"/>
          <w:color w:val="000000"/>
        </w:rPr>
        <w:t xml:space="preserve"> руб.</w:t>
      </w:r>
      <w:r w:rsidR="007A7BE3" w:rsidRPr="00AA467A">
        <w:rPr>
          <w:rStyle w:val="FontStyle299"/>
          <w:color w:val="000000"/>
        </w:rPr>
        <w:t>)</w:t>
      </w:r>
      <w:r w:rsidRPr="00AA467A">
        <w:rPr>
          <w:rStyle w:val="FontStyle299"/>
          <w:color w:val="000000"/>
        </w:rPr>
        <w:t>. Темп роста составил 1</w:t>
      </w:r>
      <w:r w:rsidR="00FC1F19" w:rsidRPr="00AA467A">
        <w:rPr>
          <w:rStyle w:val="FontStyle299"/>
          <w:color w:val="000000"/>
        </w:rPr>
        <w:t>03,1</w:t>
      </w:r>
      <w:r w:rsidRPr="00AA467A">
        <w:rPr>
          <w:rStyle w:val="FontStyle299"/>
          <w:color w:val="000000"/>
        </w:rPr>
        <w:t>%.</w:t>
      </w:r>
    </w:p>
    <w:p w:rsidR="00F92565" w:rsidRPr="00AA467A" w:rsidRDefault="00F9256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t xml:space="preserve">- </w:t>
      </w:r>
      <w:r w:rsidRPr="00AA467A">
        <w:rPr>
          <w:rStyle w:val="FontStyle299"/>
        </w:rPr>
        <w:t>По итогам 201</w:t>
      </w:r>
      <w:r w:rsidR="00FC1F19" w:rsidRPr="00AA467A">
        <w:rPr>
          <w:rStyle w:val="FontStyle299"/>
        </w:rPr>
        <w:t>5</w:t>
      </w:r>
      <w:r w:rsidR="007A7BE3" w:rsidRPr="00AA467A">
        <w:rPr>
          <w:rStyle w:val="FontStyle299"/>
        </w:rPr>
        <w:t xml:space="preserve"> </w:t>
      </w:r>
      <w:r w:rsidRPr="00AA467A">
        <w:rPr>
          <w:rStyle w:val="FontStyle299"/>
        </w:rPr>
        <w:t xml:space="preserve">г. </w:t>
      </w:r>
      <w:r w:rsidRPr="00AA467A">
        <w:rPr>
          <w:rStyle w:val="FontStyle299"/>
          <w:i/>
          <w:iCs/>
        </w:rPr>
        <w:t xml:space="preserve">среднемесячная номинальная начисленная заработная плата муниципальных учреждений физической культуры и спорта </w:t>
      </w:r>
      <w:r w:rsidRPr="00AA467A">
        <w:rPr>
          <w:rStyle w:val="FontStyle299"/>
        </w:rPr>
        <w:t>составила 1</w:t>
      </w:r>
      <w:r w:rsidR="00FC1F19" w:rsidRPr="00AA467A">
        <w:rPr>
          <w:rStyle w:val="FontStyle299"/>
        </w:rPr>
        <w:t>1193,1</w:t>
      </w:r>
      <w:r w:rsidRPr="00AA467A">
        <w:rPr>
          <w:rStyle w:val="FontStyle299"/>
        </w:rPr>
        <w:t xml:space="preserve"> руб. (в 201</w:t>
      </w:r>
      <w:r w:rsidR="00FC1F19" w:rsidRPr="00AA467A">
        <w:rPr>
          <w:rStyle w:val="FontStyle299"/>
        </w:rPr>
        <w:t>4</w:t>
      </w:r>
      <w:r w:rsidRPr="00AA467A">
        <w:rPr>
          <w:rStyle w:val="FontStyle299"/>
        </w:rPr>
        <w:t>г.-</w:t>
      </w:r>
      <w:r w:rsidR="00FC1F19" w:rsidRPr="00AA467A">
        <w:rPr>
          <w:rStyle w:val="FontStyle299"/>
        </w:rPr>
        <w:t>10054,5</w:t>
      </w:r>
      <w:r w:rsidRPr="00AA467A">
        <w:rPr>
          <w:rStyle w:val="FontStyle299"/>
        </w:rPr>
        <w:t xml:space="preserve"> руб.). Темп роста составил 11</w:t>
      </w:r>
      <w:r w:rsidR="00FC1F19" w:rsidRPr="00AA467A">
        <w:rPr>
          <w:rStyle w:val="FontStyle299"/>
        </w:rPr>
        <w:t>1,3</w:t>
      </w:r>
      <w:r w:rsidRPr="00AA467A">
        <w:rPr>
          <w:rStyle w:val="FontStyle299"/>
        </w:rPr>
        <w:t xml:space="preserve">%. </w:t>
      </w:r>
    </w:p>
    <w:p w:rsidR="00F92565" w:rsidRPr="00AA467A" w:rsidRDefault="00F9256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В прогнозе на плановые периоды 201</w:t>
      </w:r>
      <w:r w:rsidR="00FC1F19" w:rsidRPr="00AA467A">
        <w:rPr>
          <w:rStyle w:val="FontStyle299"/>
        </w:rPr>
        <w:t>6</w:t>
      </w:r>
      <w:r w:rsidRPr="00AA467A">
        <w:rPr>
          <w:rStyle w:val="FontStyle299"/>
        </w:rPr>
        <w:t>-201</w:t>
      </w:r>
      <w:r w:rsidR="00FC1F19" w:rsidRPr="00AA467A">
        <w:rPr>
          <w:rStyle w:val="FontStyle299"/>
        </w:rPr>
        <w:t>8</w:t>
      </w:r>
      <w:r w:rsidR="007A7BE3" w:rsidRPr="00AA467A">
        <w:rPr>
          <w:rStyle w:val="FontStyle299"/>
        </w:rPr>
        <w:t xml:space="preserve"> </w:t>
      </w:r>
      <w:r w:rsidRPr="00AA467A">
        <w:rPr>
          <w:rStyle w:val="FontStyle299"/>
        </w:rPr>
        <w:t xml:space="preserve">гг. намечается </w:t>
      </w:r>
      <w:r w:rsidR="00FC1F19" w:rsidRPr="00AA467A">
        <w:rPr>
          <w:rStyle w:val="FontStyle299"/>
        </w:rPr>
        <w:t>увеличение</w:t>
      </w:r>
      <w:r w:rsidRPr="00AA467A">
        <w:rPr>
          <w:rStyle w:val="FontStyle299"/>
        </w:rPr>
        <w:t xml:space="preserve"> </w:t>
      </w:r>
      <w:r w:rsidRPr="00AA467A">
        <w:t>заработной платы</w:t>
      </w:r>
      <w:r w:rsidR="00FC1F19" w:rsidRPr="00AA467A">
        <w:t xml:space="preserve"> до 11800 руб.</w:t>
      </w:r>
      <w:r w:rsidRPr="00AA467A">
        <w:rPr>
          <w:rStyle w:val="FontStyle299"/>
        </w:rPr>
        <w:t>:</w:t>
      </w:r>
    </w:p>
    <w:p w:rsidR="00F92565" w:rsidRPr="00AA467A" w:rsidRDefault="00F9256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Причины роста в отчетном и плановом периодах: поэтапное</w:t>
      </w:r>
      <w:r w:rsidR="00502842" w:rsidRPr="00AA467A">
        <w:rPr>
          <w:rStyle w:val="FontStyle299"/>
        </w:rPr>
        <w:t xml:space="preserve"> </w:t>
      </w:r>
      <w:r w:rsidRPr="00AA467A">
        <w:rPr>
          <w:rStyle w:val="FontStyle299"/>
        </w:rPr>
        <w:t xml:space="preserve">повышение оплаты труда на основании Указа Президента РФ от 7 мая 2012 года № 597. </w:t>
      </w:r>
    </w:p>
    <w:p w:rsidR="00F92565" w:rsidRPr="00AA467A" w:rsidRDefault="0090463E" w:rsidP="0090463E">
      <w:pPr>
        <w:autoSpaceDE w:val="0"/>
        <w:autoSpaceDN w:val="0"/>
        <w:adjustRightInd w:val="0"/>
        <w:spacing w:before="60" w:afterLines="60" w:after="144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F92565" w:rsidRPr="00AA467A">
        <w:rPr>
          <w:b/>
          <w:bCs/>
        </w:rPr>
        <w:t>. Дошкольное образование</w:t>
      </w:r>
    </w:p>
    <w:p w:rsidR="002259E5" w:rsidRPr="00AA467A" w:rsidRDefault="007A7BE3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b/>
          <w:bCs/>
        </w:rPr>
        <w:t>(п.</w:t>
      </w:r>
      <w:r w:rsidR="002259E5" w:rsidRPr="00AA467A">
        <w:rPr>
          <w:b/>
          <w:bCs/>
        </w:rPr>
        <w:t xml:space="preserve">9) </w:t>
      </w:r>
      <w:r w:rsidR="002259E5" w:rsidRPr="00AA467A">
        <w:rPr>
          <w:rStyle w:val="FontStyle299"/>
        </w:rPr>
        <w:t>Доля дете</w:t>
      </w:r>
      <w:r w:rsidRPr="00AA467A">
        <w:rPr>
          <w:rStyle w:val="FontStyle299"/>
        </w:rPr>
        <w:t>й в возрасте 1-6 лет, получающих</w:t>
      </w:r>
      <w:r w:rsidR="002259E5" w:rsidRPr="00AA467A">
        <w:rPr>
          <w:rStyle w:val="FontStyle299"/>
        </w:rPr>
        <w:t xml:space="preserve">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составила в 2015 году – </w:t>
      </w:r>
      <w:r w:rsidR="0090463E" w:rsidRPr="0090463E">
        <w:rPr>
          <w:rStyle w:val="FontStyle299"/>
        </w:rPr>
        <w:t>47</w:t>
      </w:r>
      <w:r w:rsidR="0090463E">
        <w:rPr>
          <w:rStyle w:val="FontStyle299"/>
        </w:rPr>
        <w:t>,</w:t>
      </w:r>
      <w:r w:rsidR="0090463E" w:rsidRPr="0090463E">
        <w:rPr>
          <w:rStyle w:val="FontStyle299"/>
        </w:rPr>
        <w:t>31</w:t>
      </w:r>
      <w:r w:rsidR="002259E5" w:rsidRPr="00AA467A">
        <w:rPr>
          <w:rStyle w:val="FontStyle299"/>
        </w:rPr>
        <w:t xml:space="preserve">%. Рост показателя по отношению к предыдущему году    составляет </w:t>
      </w:r>
      <w:r w:rsidR="0090463E">
        <w:rPr>
          <w:rStyle w:val="FontStyle299"/>
        </w:rPr>
        <w:t xml:space="preserve">1,1 </w:t>
      </w:r>
      <w:proofErr w:type="spellStart"/>
      <w:proofErr w:type="gramStart"/>
      <w:r w:rsidR="0090463E">
        <w:rPr>
          <w:rStyle w:val="FontStyle299"/>
        </w:rPr>
        <w:t>п.п</w:t>
      </w:r>
      <w:proofErr w:type="spellEnd"/>
      <w:r w:rsidR="002259E5" w:rsidRPr="00AA467A">
        <w:rPr>
          <w:rStyle w:val="FontStyle299"/>
        </w:rPr>
        <w:t xml:space="preserve"> .</w:t>
      </w:r>
      <w:proofErr w:type="gramEnd"/>
      <w:r w:rsidR="002259E5" w:rsidRPr="00AA467A">
        <w:rPr>
          <w:rStyle w:val="FontStyle299"/>
        </w:rPr>
        <w:t xml:space="preserve"> Увеличение произошло в результате увеличения численности детей </w:t>
      </w:r>
      <w:r w:rsidRPr="00AA467A">
        <w:rPr>
          <w:rStyle w:val="FontStyle299"/>
        </w:rPr>
        <w:t xml:space="preserve">в возрасте </w:t>
      </w:r>
      <w:r w:rsidR="002259E5" w:rsidRPr="00AA467A">
        <w:rPr>
          <w:rStyle w:val="FontStyle299"/>
        </w:rPr>
        <w:t xml:space="preserve">1-6 лет, получающих дошкольную образовательную услугу и (или) услугу по их содержанию в муниципальных образовательных учреждениях с </w:t>
      </w:r>
      <w:r w:rsidR="0090463E">
        <w:rPr>
          <w:rStyle w:val="FontStyle299"/>
        </w:rPr>
        <w:t>637</w:t>
      </w:r>
      <w:r w:rsidR="002259E5" w:rsidRPr="00AA467A">
        <w:rPr>
          <w:rStyle w:val="FontStyle299"/>
        </w:rPr>
        <w:t xml:space="preserve"> человек в 201</w:t>
      </w:r>
      <w:r w:rsidR="0090463E">
        <w:rPr>
          <w:rStyle w:val="FontStyle299"/>
        </w:rPr>
        <w:t>4</w:t>
      </w:r>
      <w:r w:rsidR="002259E5" w:rsidRPr="00AA467A">
        <w:rPr>
          <w:rStyle w:val="FontStyle299"/>
        </w:rPr>
        <w:t xml:space="preserve"> году до </w:t>
      </w:r>
      <w:r w:rsidR="0090463E">
        <w:rPr>
          <w:rStyle w:val="FontStyle299"/>
        </w:rPr>
        <w:t>695</w:t>
      </w:r>
      <w:r w:rsidR="002259E5" w:rsidRPr="00AA467A">
        <w:rPr>
          <w:rStyle w:val="FontStyle299"/>
        </w:rPr>
        <w:t xml:space="preserve"> человек – в 201</w:t>
      </w:r>
      <w:r w:rsidR="0090463E">
        <w:rPr>
          <w:rStyle w:val="FontStyle299"/>
        </w:rPr>
        <w:t>5</w:t>
      </w:r>
      <w:r w:rsidR="002259E5" w:rsidRPr="00AA467A">
        <w:rPr>
          <w:rStyle w:val="FontStyle299"/>
        </w:rPr>
        <w:t xml:space="preserve"> году. Этому способствовало:</w:t>
      </w:r>
    </w:p>
    <w:p w:rsidR="002259E5" w:rsidRPr="00AA467A" w:rsidRDefault="002259E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Реконструкция филиала №2 «Солнышко» МДОУ детский сад «Родничок» на 20 мест и капитальный ремонт филиала №1 «Чебурашка» МДОУ детский сад «Родничок» на 20 мест;</w:t>
      </w:r>
    </w:p>
    <w:p w:rsidR="002259E5" w:rsidRPr="00AA467A" w:rsidRDefault="002259E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открытие новых групп кратковременного пребывания детей в МОУ «</w:t>
      </w:r>
      <w:proofErr w:type="spellStart"/>
      <w:r w:rsidRPr="00AA467A">
        <w:rPr>
          <w:rStyle w:val="FontStyle299"/>
        </w:rPr>
        <w:t>Иогачская</w:t>
      </w:r>
      <w:proofErr w:type="spellEnd"/>
      <w:r w:rsidRPr="00AA467A">
        <w:rPr>
          <w:rStyle w:val="FontStyle299"/>
        </w:rPr>
        <w:t xml:space="preserve"> СОШ» на 20 мест и филиал «</w:t>
      </w:r>
      <w:proofErr w:type="spellStart"/>
      <w:r w:rsidRPr="00AA467A">
        <w:rPr>
          <w:rStyle w:val="FontStyle299"/>
        </w:rPr>
        <w:t>Курмач</w:t>
      </w:r>
      <w:proofErr w:type="spellEnd"/>
      <w:r w:rsidRPr="00AA467A">
        <w:rPr>
          <w:rStyle w:val="FontStyle299"/>
        </w:rPr>
        <w:t>-</w:t>
      </w:r>
      <w:r w:rsidR="0090463E">
        <w:rPr>
          <w:rStyle w:val="FontStyle299"/>
        </w:rPr>
        <w:t xml:space="preserve"> </w:t>
      </w:r>
      <w:proofErr w:type="spellStart"/>
      <w:r w:rsidRPr="00AA467A">
        <w:rPr>
          <w:rStyle w:val="FontStyle299"/>
        </w:rPr>
        <w:t>Байгольская</w:t>
      </w:r>
      <w:proofErr w:type="spellEnd"/>
      <w:r w:rsidRPr="00AA467A">
        <w:rPr>
          <w:rStyle w:val="FontStyle299"/>
        </w:rPr>
        <w:t xml:space="preserve"> ООШ» МОУ «</w:t>
      </w:r>
      <w:proofErr w:type="spellStart"/>
      <w:r w:rsidRPr="00AA467A">
        <w:rPr>
          <w:rStyle w:val="FontStyle299"/>
        </w:rPr>
        <w:t>Бийкинская</w:t>
      </w:r>
      <w:proofErr w:type="spellEnd"/>
      <w:r w:rsidRPr="00AA467A">
        <w:rPr>
          <w:rStyle w:val="FontStyle299"/>
        </w:rPr>
        <w:t xml:space="preserve"> СОШ» на 11 мест.</w:t>
      </w:r>
    </w:p>
    <w:p w:rsidR="002259E5" w:rsidRPr="00AA467A" w:rsidRDefault="002259E5" w:rsidP="001F77AF">
      <w:pPr>
        <w:pStyle w:val="Style129"/>
        <w:widowControl/>
        <w:spacing w:before="60" w:afterLines="60" w:after="144" w:line="240" w:lineRule="auto"/>
        <w:ind w:firstLine="709"/>
        <w:rPr>
          <w:rStyle w:val="FontStyle299"/>
        </w:rPr>
      </w:pPr>
      <w:r w:rsidRPr="00AA467A">
        <w:rPr>
          <w:rStyle w:val="FontStyle299"/>
        </w:rPr>
        <w:t>На конец 2015</w:t>
      </w:r>
      <w:r w:rsidR="007A7BE3" w:rsidRPr="00AA467A">
        <w:rPr>
          <w:rStyle w:val="FontStyle299"/>
        </w:rPr>
        <w:t xml:space="preserve"> </w:t>
      </w:r>
      <w:r w:rsidRPr="00AA467A">
        <w:rPr>
          <w:rStyle w:val="FontStyle299"/>
        </w:rPr>
        <w:t xml:space="preserve">г. охват дошкольным образованием составлял 842 ребенка, увеличение произошло за </w:t>
      </w:r>
      <w:proofErr w:type="gramStart"/>
      <w:r w:rsidRPr="00AA467A">
        <w:rPr>
          <w:rStyle w:val="FontStyle299"/>
        </w:rPr>
        <w:t>счет  открытия</w:t>
      </w:r>
      <w:proofErr w:type="gramEnd"/>
      <w:r w:rsidRPr="00AA467A">
        <w:rPr>
          <w:rStyle w:val="FontStyle299"/>
        </w:rPr>
        <w:t xml:space="preserve">  </w:t>
      </w:r>
      <w:r w:rsidRPr="00AA467A">
        <w:t>групп семейного воспитания, их стало 9, открыт детский сад «Аленушка» в селе Верх-Бийск на 40 мест, продолжают работу группы  кратковременного и полного пребывания детей.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780309" w:rsidRPr="00AA467A">
        <w:rPr>
          <w:b/>
          <w:bCs/>
        </w:rPr>
        <w:t>п.</w:t>
      </w:r>
      <w:r w:rsidRPr="00AA467A">
        <w:rPr>
          <w:b/>
          <w:bCs/>
        </w:rPr>
        <w:t xml:space="preserve">10) </w:t>
      </w:r>
      <w:r w:rsidRPr="00AA467A">
        <w:t xml:space="preserve">Доля детей в возрасте 1-6 лет, состоящих на учете для определения в муниципальные дошкольные образовательные учреждения, составила в 2015 году – 9,735%. </w:t>
      </w:r>
      <w:proofErr w:type="gramStart"/>
      <w:r w:rsidRPr="00AA467A">
        <w:t>Уменьшение  показателя</w:t>
      </w:r>
      <w:proofErr w:type="gramEnd"/>
      <w:r w:rsidRPr="00AA467A">
        <w:t xml:space="preserve"> составляет 3,267</w:t>
      </w:r>
      <w:r w:rsidR="0090463E">
        <w:t>п.п</w:t>
      </w:r>
      <w:r w:rsidRPr="00AA467A">
        <w:t>. Произошло это в результате увеличения площадей в МДОУ и от</w:t>
      </w:r>
      <w:r w:rsidR="007A7BE3" w:rsidRPr="00AA467A">
        <w:t>крытия семейных групп</w:t>
      </w:r>
      <w:r w:rsidRPr="00AA467A">
        <w:t xml:space="preserve"> ( в 2014 году была открыта 1 семейная группа). Этому способствовало: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- увеличение мест в детских садах (филиал №2 «Солнышко» МДОУ детский сад «Родничок» на 20 мест и филиал №1 «Чебурашка» МДОУ детский сад «Родничок» на 20 мест) и открытие новых групп кратковременного пребывания детей в МОУ «</w:t>
      </w:r>
      <w:proofErr w:type="spellStart"/>
      <w:r w:rsidRPr="00AA467A">
        <w:t>Иогачская</w:t>
      </w:r>
      <w:proofErr w:type="spellEnd"/>
      <w:r w:rsidRPr="00AA467A">
        <w:t xml:space="preserve"> СОШ» на 20 мест и МОУ «</w:t>
      </w:r>
      <w:proofErr w:type="spellStart"/>
      <w:r w:rsidRPr="00AA467A">
        <w:t>Курмач-Байгольская</w:t>
      </w:r>
      <w:proofErr w:type="spellEnd"/>
      <w:r w:rsidRPr="00AA467A">
        <w:t xml:space="preserve"> ООШ» на 11 мест;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- стремлени</w:t>
      </w:r>
      <w:r w:rsidR="0090463E">
        <w:t>е</w:t>
      </w:r>
      <w:r w:rsidRPr="00AA467A">
        <w:t xml:space="preserve"> родителей дать своим детям дошкольное образование в результате модернизации дошкольного образования;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 xml:space="preserve">- с 1 января 2016 </w:t>
      </w:r>
      <w:proofErr w:type="gramStart"/>
      <w:r w:rsidRPr="00AA467A">
        <w:t>года  осуществляется</w:t>
      </w:r>
      <w:proofErr w:type="gramEnd"/>
      <w:r w:rsidRPr="00AA467A">
        <w:t xml:space="preserve"> 100% охват детей 3-7 лет дошкольным образованием. Достигнуто это за счет: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- открыт</w:t>
      </w:r>
      <w:r w:rsidR="00780309" w:rsidRPr="00AA467A">
        <w:t>ия</w:t>
      </w:r>
      <w:r w:rsidRPr="00AA467A">
        <w:t xml:space="preserve"> детск</w:t>
      </w:r>
      <w:r w:rsidR="00780309" w:rsidRPr="00AA467A">
        <w:t>ого</w:t>
      </w:r>
      <w:r w:rsidRPr="00AA467A">
        <w:t xml:space="preserve"> сад</w:t>
      </w:r>
      <w:r w:rsidR="00780309" w:rsidRPr="00AA467A">
        <w:t>а</w:t>
      </w:r>
      <w:r w:rsidRPr="00AA467A">
        <w:t xml:space="preserve"> «Аленушка» в селе Верх-Бийск в январе 2015 года на 40 мест;</w:t>
      </w:r>
    </w:p>
    <w:p w:rsidR="002259E5" w:rsidRPr="00AA467A" w:rsidRDefault="00780309" w:rsidP="001F77AF">
      <w:pPr>
        <w:spacing w:before="60" w:afterLines="60" w:after="144"/>
        <w:ind w:firstLine="709"/>
        <w:jc w:val="both"/>
      </w:pPr>
      <w:r w:rsidRPr="00AA467A">
        <w:t>- организации</w:t>
      </w:r>
      <w:r w:rsidR="002259E5" w:rsidRPr="00AA467A">
        <w:t xml:space="preserve"> групп кратковременного и полного пребывания детей в селах, где отсутствуют дошкольные учреждения или имеется большая очередь в действующие детские сады (с.</w:t>
      </w:r>
      <w:r w:rsidRPr="00AA467A">
        <w:t xml:space="preserve"> </w:t>
      </w:r>
      <w:r w:rsidR="002259E5" w:rsidRPr="00AA467A">
        <w:t>Иогач, с,</w:t>
      </w:r>
      <w:r w:rsidRPr="00AA467A">
        <w:t xml:space="preserve"> </w:t>
      </w:r>
      <w:proofErr w:type="spellStart"/>
      <w:proofErr w:type="gramStart"/>
      <w:r w:rsidR="002259E5" w:rsidRPr="00AA467A">
        <w:t>Артыбаш,с</w:t>
      </w:r>
      <w:proofErr w:type="spellEnd"/>
      <w:r w:rsidR="002259E5" w:rsidRPr="00AA467A">
        <w:t>.</w:t>
      </w:r>
      <w:proofErr w:type="gramEnd"/>
      <w:r w:rsidRPr="00AA467A">
        <w:t xml:space="preserve"> </w:t>
      </w:r>
      <w:r w:rsidR="002259E5" w:rsidRPr="00AA467A">
        <w:t>Кебезень, с.</w:t>
      </w:r>
      <w:r w:rsidRPr="00AA467A">
        <w:t xml:space="preserve"> </w:t>
      </w:r>
      <w:proofErr w:type="spellStart"/>
      <w:r w:rsidR="002259E5" w:rsidRPr="00AA467A">
        <w:t>Бийка</w:t>
      </w:r>
      <w:proofErr w:type="spellEnd"/>
      <w:r w:rsidR="002259E5" w:rsidRPr="00AA467A">
        <w:t>, Озеро-</w:t>
      </w:r>
      <w:proofErr w:type="spellStart"/>
      <w:r w:rsidR="002259E5" w:rsidRPr="00AA467A">
        <w:t>Куреево</w:t>
      </w:r>
      <w:proofErr w:type="spellEnd"/>
      <w:r w:rsidR="002259E5" w:rsidRPr="00AA467A">
        <w:t>, с.</w:t>
      </w:r>
      <w:r w:rsidRPr="00AA467A">
        <w:t xml:space="preserve"> </w:t>
      </w:r>
      <w:r w:rsidR="002259E5" w:rsidRPr="00AA467A">
        <w:t>Тулой, с.</w:t>
      </w:r>
      <w:r w:rsidRPr="00AA467A">
        <w:t xml:space="preserve"> </w:t>
      </w:r>
      <w:r w:rsidR="002259E5" w:rsidRPr="00AA467A">
        <w:t>Турочак, с.</w:t>
      </w:r>
      <w:r w:rsidRPr="00AA467A">
        <w:t xml:space="preserve"> </w:t>
      </w:r>
      <w:proofErr w:type="spellStart"/>
      <w:r w:rsidR="002259E5" w:rsidRPr="00AA467A">
        <w:t>Яйлю</w:t>
      </w:r>
      <w:proofErr w:type="spellEnd"/>
      <w:r w:rsidR="002259E5" w:rsidRPr="00AA467A">
        <w:t>, с.</w:t>
      </w:r>
      <w:r w:rsidRPr="00AA467A">
        <w:t xml:space="preserve"> </w:t>
      </w:r>
      <w:proofErr w:type="spellStart"/>
      <w:r w:rsidR="002259E5" w:rsidRPr="00AA467A">
        <w:t>Курмач-Байгол</w:t>
      </w:r>
      <w:proofErr w:type="spellEnd"/>
      <w:r w:rsidR="002259E5" w:rsidRPr="00AA467A">
        <w:t>). В 2016</w:t>
      </w:r>
      <w:r w:rsidRPr="00AA467A">
        <w:t xml:space="preserve"> –</w:t>
      </w:r>
      <w:r w:rsidR="002259E5" w:rsidRPr="00AA467A">
        <w:t xml:space="preserve"> 2018</w:t>
      </w:r>
      <w:r w:rsidRPr="00AA467A">
        <w:t xml:space="preserve"> г</w:t>
      </w:r>
      <w:r w:rsidR="002259E5" w:rsidRPr="00AA467A">
        <w:t>г. планируется продолжить работу групп кратковременного и полного пребывания детей.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- открыти</w:t>
      </w:r>
      <w:r w:rsidR="00780309" w:rsidRPr="00AA467A">
        <w:t>я</w:t>
      </w:r>
      <w:r w:rsidRPr="00AA467A">
        <w:t xml:space="preserve"> групп семейного воспитания детей в селах Кебезень, Иогач, </w:t>
      </w:r>
      <w:proofErr w:type="spellStart"/>
      <w:r w:rsidRPr="00AA467A">
        <w:t>Яйлю</w:t>
      </w:r>
      <w:proofErr w:type="spellEnd"/>
      <w:r w:rsidR="00780309" w:rsidRPr="00AA467A">
        <w:t>, Озеро-</w:t>
      </w:r>
      <w:proofErr w:type="spellStart"/>
      <w:r w:rsidR="00780309" w:rsidRPr="00AA467A">
        <w:t>Куреево</w:t>
      </w:r>
      <w:proofErr w:type="spellEnd"/>
      <w:r w:rsidR="00780309" w:rsidRPr="00AA467A">
        <w:t xml:space="preserve">, </w:t>
      </w:r>
      <w:proofErr w:type="spellStart"/>
      <w:r w:rsidR="00780309" w:rsidRPr="00AA467A">
        <w:t>Курмач-Байгол</w:t>
      </w:r>
      <w:proofErr w:type="spellEnd"/>
      <w:r w:rsidR="00780309" w:rsidRPr="00AA467A">
        <w:t>. В</w:t>
      </w:r>
      <w:r w:rsidRPr="00AA467A">
        <w:t xml:space="preserve"> 2015</w:t>
      </w:r>
      <w:r w:rsidR="00780309" w:rsidRPr="00AA467A">
        <w:t xml:space="preserve"> </w:t>
      </w:r>
      <w:r w:rsidRPr="00AA467A">
        <w:t>г</w:t>
      </w:r>
      <w:r w:rsidR="00780309" w:rsidRPr="00AA467A">
        <w:t>.</w:t>
      </w:r>
      <w:r w:rsidRPr="00AA467A">
        <w:t xml:space="preserve"> групп семейного воспитания стало 9, в 2016</w:t>
      </w:r>
      <w:r w:rsidR="00780309" w:rsidRPr="00AA467A">
        <w:t xml:space="preserve"> </w:t>
      </w:r>
      <w:r w:rsidRPr="00AA467A">
        <w:t xml:space="preserve">г. уже </w:t>
      </w:r>
      <w:proofErr w:type="gramStart"/>
      <w:r w:rsidRPr="00AA467A">
        <w:t>открыта  1</w:t>
      </w:r>
      <w:proofErr w:type="gramEnd"/>
      <w:r w:rsidRPr="00AA467A">
        <w:t xml:space="preserve"> группа, до сентября 2016</w:t>
      </w:r>
      <w:r w:rsidR="00780309" w:rsidRPr="00AA467A">
        <w:t xml:space="preserve"> </w:t>
      </w:r>
      <w:r w:rsidRPr="00AA467A">
        <w:t>г. планируется открытие еще 4 групп, в 2017</w:t>
      </w:r>
      <w:r w:rsidR="00780309" w:rsidRPr="00AA467A">
        <w:t>-2018</w:t>
      </w:r>
      <w:r w:rsidR="006D5885">
        <w:t xml:space="preserve"> гг.</w:t>
      </w:r>
      <w:r w:rsidR="00780309" w:rsidRPr="00AA467A">
        <w:t xml:space="preserve"> -3 группы</w:t>
      </w:r>
      <w:r w:rsidRPr="00AA467A">
        <w:t>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-</w:t>
      </w:r>
      <w:r w:rsidR="006D5885">
        <w:t xml:space="preserve"> </w:t>
      </w:r>
      <w:r w:rsidR="006D5885" w:rsidRPr="00AA467A">
        <w:t>в 2016 г.</w:t>
      </w:r>
      <w:r w:rsidR="006D5885">
        <w:t xml:space="preserve"> </w:t>
      </w:r>
      <w:r w:rsidRPr="00AA467A">
        <w:t>планируется открытие частного детского сада в с.</w:t>
      </w:r>
      <w:r w:rsidR="00780309" w:rsidRPr="00AA467A">
        <w:t xml:space="preserve"> </w:t>
      </w:r>
      <w:r w:rsidRPr="00AA467A">
        <w:t>Иогач, предпринимател</w:t>
      </w:r>
      <w:r w:rsidR="006D5885">
        <w:t xml:space="preserve">ем </w:t>
      </w:r>
      <w:r w:rsidRPr="00AA467A">
        <w:t>Шевелев</w:t>
      </w:r>
      <w:r w:rsidR="006D5885">
        <w:t>ой</w:t>
      </w:r>
      <w:r w:rsidRPr="00AA467A">
        <w:t xml:space="preserve"> Е.В. 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780309" w:rsidRPr="00AA467A">
        <w:rPr>
          <w:b/>
          <w:bCs/>
        </w:rPr>
        <w:t>п.</w:t>
      </w:r>
      <w:r w:rsidRPr="00AA467A">
        <w:rPr>
          <w:b/>
          <w:bCs/>
        </w:rPr>
        <w:t xml:space="preserve">11) </w:t>
      </w:r>
      <w:r w:rsidRPr="00AA467A">
        <w:t xml:space="preserve"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общей численности процентов муниципальных дошкольных общеобразовательных учреждений составила в 2015 году – 27,27%. </w:t>
      </w:r>
      <w:r w:rsidR="006D5885">
        <w:t xml:space="preserve">Всего в районе </w:t>
      </w:r>
      <w:r w:rsidRPr="00AA467A">
        <w:t>11 муниципальных дошкольных образовательных учреждений (2 муниципальных дошкольных общеобразовательных учреждения, 9 филиалов).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>Три дошкольных образовательных учреждения в селах Иогач (МДОУ детский сад «Березка»), детский сад «Берёзка» филиал МОУ «</w:t>
      </w:r>
      <w:proofErr w:type="spellStart"/>
      <w:r w:rsidRPr="00AA467A">
        <w:t>Бийкинская</w:t>
      </w:r>
      <w:proofErr w:type="spellEnd"/>
      <w:r w:rsidRPr="00AA467A">
        <w:t xml:space="preserve"> СОШ» в селе </w:t>
      </w:r>
      <w:proofErr w:type="spellStart"/>
      <w:proofErr w:type="gramStart"/>
      <w:r w:rsidRPr="00AA467A">
        <w:t>Бийка</w:t>
      </w:r>
      <w:proofErr w:type="spellEnd"/>
      <w:r w:rsidRPr="00AA467A">
        <w:t xml:space="preserve">  и</w:t>
      </w:r>
      <w:proofErr w:type="gramEnd"/>
      <w:r w:rsidRPr="00AA467A">
        <w:t xml:space="preserve"> Кебезень (</w:t>
      </w:r>
      <w:proofErr w:type="spellStart"/>
      <w:r w:rsidRPr="00AA467A">
        <w:t>Кебезенский</w:t>
      </w:r>
      <w:proofErr w:type="spellEnd"/>
      <w:r w:rsidRPr="00AA467A">
        <w:t xml:space="preserve"> филиал «Колобок»</w:t>
      </w:r>
      <w:r w:rsidR="006D5885">
        <w:t xml:space="preserve"> </w:t>
      </w:r>
      <w:r w:rsidRPr="00AA467A">
        <w:t>МДОУ детский сад «Березка» села Иогач)  находятся в аварийном состоянии или требуют капитального ремонта.</w:t>
      </w:r>
    </w:p>
    <w:p w:rsidR="00F92565" w:rsidRPr="00AA467A" w:rsidRDefault="006D5885" w:rsidP="006D5885">
      <w:pPr>
        <w:autoSpaceDE w:val="0"/>
        <w:autoSpaceDN w:val="0"/>
        <w:adjustRightInd w:val="0"/>
        <w:spacing w:before="60" w:afterLines="60" w:after="144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F92565" w:rsidRPr="00AA467A">
        <w:rPr>
          <w:b/>
          <w:bCs/>
        </w:rPr>
        <w:t>. Общее и дополнительное образование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780309" w:rsidRPr="00AA467A">
        <w:rPr>
          <w:b/>
          <w:bCs/>
        </w:rPr>
        <w:t>п.</w:t>
      </w:r>
      <w:r w:rsidRPr="00AA467A">
        <w:rPr>
          <w:b/>
          <w:bCs/>
        </w:rPr>
        <w:t xml:space="preserve">12) </w:t>
      </w:r>
      <w:r w:rsidRPr="00AA467A"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в 2015 году составила 100</w:t>
      </w:r>
      <w:proofErr w:type="gramStart"/>
      <w:r w:rsidRPr="00AA467A">
        <w:t>%,как</w:t>
      </w:r>
      <w:proofErr w:type="gramEnd"/>
      <w:r w:rsidRPr="00AA467A">
        <w:t xml:space="preserve"> и в 2014 году</w:t>
      </w:r>
      <w:r w:rsidR="00780309" w:rsidRPr="00AA467A">
        <w:t>.</w:t>
      </w:r>
      <w:r w:rsidRPr="00AA467A">
        <w:t xml:space="preserve"> Образовательные учреждения среднего образования наметили и провели в каждом образовательном учреждении </w:t>
      </w:r>
      <w:proofErr w:type="gramStart"/>
      <w:r w:rsidRPr="00AA467A">
        <w:t>меры  по</w:t>
      </w:r>
      <w:proofErr w:type="gramEnd"/>
      <w:r w:rsidRPr="00AA467A">
        <w:t xml:space="preserve"> поддержанию высокого качества образования. Проведён прогноз для нынешних выпускников. Он позволяет сделать вывод о выходе на 100% в течение последующих лет.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780309" w:rsidRPr="00AA467A">
        <w:rPr>
          <w:b/>
          <w:bCs/>
        </w:rPr>
        <w:t>п.</w:t>
      </w:r>
      <w:r w:rsidRPr="00AA467A">
        <w:rPr>
          <w:b/>
          <w:bCs/>
        </w:rPr>
        <w:t>13</w:t>
      </w:r>
      <w:proofErr w:type="gramStart"/>
      <w:r w:rsidRPr="00AA467A">
        <w:rPr>
          <w:b/>
          <w:bCs/>
        </w:rPr>
        <w:t xml:space="preserve">) </w:t>
      </w:r>
      <w:r w:rsidRPr="00AA467A">
        <w:t xml:space="preserve"> Доля</w:t>
      </w:r>
      <w:proofErr w:type="gramEnd"/>
      <w:r w:rsidRPr="00AA467A">
        <w:t xml:space="preserve"> выпускников, не получивших аттестаты</w:t>
      </w:r>
      <w:r w:rsidR="00F61019" w:rsidRPr="00AA467A">
        <w:t>,</w:t>
      </w:r>
      <w:r w:rsidRPr="00AA467A">
        <w:t xml:space="preserve"> равна нулю, все выпускники 11 классов окончили школу, получили аттестаты.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t xml:space="preserve">В форме экстерна проходят итоговую аттестацию, как правило, выпускницы, вышедшие замуж и родившие ребёнка. За </w:t>
      </w:r>
      <w:proofErr w:type="gramStart"/>
      <w:r w:rsidRPr="00AA467A">
        <w:t>последние  три</w:t>
      </w:r>
      <w:proofErr w:type="gramEnd"/>
      <w:r w:rsidRPr="00AA467A">
        <w:t xml:space="preserve">  года выпускников такой категории в районе не было.</w:t>
      </w:r>
    </w:p>
    <w:p w:rsidR="002259E5" w:rsidRPr="00AA467A" w:rsidRDefault="002259E5" w:rsidP="001F77AF">
      <w:pPr>
        <w:spacing w:before="60" w:afterLines="60" w:after="144"/>
        <w:ind w:firstLine="709"/>
        <w:jc w:val="both"/>
      </w:pPr>
      <w:r w:rsidRPr="00AA467A">
        <w:rPr>
          <w:b/>
          <w:bCs/>
        </w:rPr>
        <w:t>(</w:t>
      </w:r>
      <w:r w:rsidR="00F61019" w:rsidRPr="00AA467A">
        <w:rPr>
          <w:b/>
          <w:bCs/>
        </w:rPr>
        <w:t>п.</w:t>
      </w:r>
      <w:r w:rsidRPr="00AA467A">
        <w:rPr>
          <w:b/>
          <w:bCs/>
        </w:rPr>
        <w:t>14</w:t>
      </w:r>
      <w:proofErr w:type="gramStart"/>
      <w:r w:rsidRPr="00AA467A">
        <w:t>)  На</w:t>
      </w:r>
      <w:proofErr w:type="gramEnd"/>
      <w:r w:rsidRPr="00AA467A">
        <w:t xml:space="preserve"> основании проведённого анализа по оснащённости общеобразовательных учреждений выяснилось, что </w:t>
      </w:r>
      <w:r w:rsidR="006B20B0">
        <w:t>два</w:t>
      </w:r>
      <w:r w:rsidRPr="00AA467A">
        <w:t xml:space="preserve"> общеобразовательных учреждения соответствует современным требованиям обучения. Таким образом, доля составляет </w:t>
      </w:r>
      <w:r w:rsidR="006B20B0">
        <w:t>33,33</w:t>
      </w:r>
      <w:r w:rsidRPr="00AA467A">
        <w:t xml:space="preserve">%. В плановом периоде изменений не будет. Вызвано это тем, что в бюджете не хватает средств. </w:t>
      </w:r>
    </w:p>
    <w:p w:rsidR="002259E5" w:rsidRPr="001C1A79" w:rsidRDefault="002259E5" w:rsidP="001F77AF">
      <w:pPr>
        <w:spacing w:before="60" w:afterLines="60" w:after="144"/>
        <w:ind w:firstLine="709"/>
        <w:jc w:val="both"/>
      </w:pPr>
      <w:r w:rsidRPr="001C1A79">
        <w:rPr>
          <w:b/>
          <w:bCs/>
        </w:rPr>
        <w:t>(</w:t>
      </w:r>
      <w:r w:rsidR="005E001A" w:rsidRPr="001C1A79">
        <w:rPr>
          <w:b/>
          <w:bCs/>
        </w:rPr>
        <w:t>п.</w:t>
      </w:r>
      <w:r w:rsidRPr="001C1A79">
        <w:rPr>
          <w:b/>
          <w:bCs/>
        </w:rPr>
        <w:t xml:space="preserve">15) </w:t>
      </w:r>
      <w:r w:rsidRPr="001C1A79">
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 в отчетном году </w:t>
      </w:r>
      <w:r w:rsidR="001C1A79" w:rsidRPr="001C1A79">
        <w:t xml:space="preserve">составляет 100% </w:t>
      </w:r>
      <w:r w:rsidRPr="001C1A79">
        <w:t xml:space="preserve">и </w:t>
      </w:r>
      <w:r w:rsidR="001C1A79">
        <w:t xml:space="preserve">к 2018 году сократиться до </w:t>
      </w:r>
      <w:bookmarkStart w:id="0" w:name="_GoBack"/>
      <w:bookmarkEnd w:id="0"/>
      <w:r w:rsidRPr="001C1A79">
        <w:t xml:space="preserve">83,3%. Связано это с тем, что каждое учреждение имеет в своем составе несколько объектов. </w:t>
      </w:r>
      <w:r w:rsidR="00F61019" w:rsidRPr="001C1A79">
        <w:t>На</w:t>
      </w:r>
      <w:r w:rsidRPr="001C1A79">
        <w:t xml:space="preserve"> плановый период 2015-2018 г</w:t>
      </w:r>
      <w:r w:rsidR="00F61019" w:rsidRPr="001C1A79">
        <w:t>г.</w:t>
      </w:r>
      <w:r w:rsidRPr="001C1A79">
        <w:t xml:space="preserve"> намечена реконструкция МОУ «</w:t>
      </w:r>
      <w:proofErr w:type="spellStart"/>
      <w:r w:rsidRPr="001C1A79">
        <w:t>Кебезенская</w:t>
      </w:r>
      <w:proofErr w:type="spellEnd"/>
      <w:r w:rsidRPr="001C1A79">
        <w:t xml:space="preserve"> СОШ». Ремонт планируется закончить в сентябре 2016 года, но в составе находится требующая ремонта </w:t>
      </w:r>
      <w:proofErr w:type="spellStart"/>
      <w:r w:rsidRPr="001C1A79">
        <w:t>Тулойская</w:t>
      </w:r>
      <w:proofErr w:type="spellEnd"/>
      <w:r w:rsidRPr="001C1A79">
        <w:t xml:space="preserve"> ООШ. В составе МОУ «</w:t>
      </w:r>
      <w:proofErr w:type="spellStart"/>
      <w:r w:rsidRPr="001C1A79">
        <w:t>Турочакская</w:t>
      </w:r>
      <w:proofErr w:type="spellEnd"/>
      <w:r w:rsidRPr="001C1A79">
        <w:t xml:space="preserve"> СОШ» находится Майская ООШ. Обе школы требуют ремонта. В составе МОУ «</w:t>
      </w:r>
      <w:proofErr w:type="spellStart"/>
      <w:r w:rsidRPr="001C1A79">
        <w:t>Бийкинская</w:t>
      </w:r>
      <w:proofErr w:type="spellEnd"/>
      <w:r w:rsidRPr="001C1A79">
        <w:t xml:space="preserve"> СОШ» (требуется капитальный ремонт спортзала) находится </w:t>
      </w:r>
      <w:proofErr w:type="spellStart"/>
      <w:r w:rsidRPr="001C1A79">
        <w:t>Яйлинская</w:t>
      </w:r>
      <w:proofErr w:type="spellEnd"/>
      <w:r w:rsidRPr="001C1A79">
        <w:t xml:space="preserve"> ООШ –требует капитального ремонта. В составе МОУ «</w:t>
      </w:r>
      <w:proofErr w:type="spellStart"/>
      <w:r w:rsidRPr="001C1A79">
        <w:t>Тондошенская</w:t>
      </w:r>
      <w:proofErr w:type="spellEnd"/>
      <w:r w:rsidRPr="001C1A79">
        <w:t xml:space="preserve"> ООШ» находится Верх-</w:t>
      </w:r>
      <w:proofErr w:type="spellStart"/>
      <w:r w:rsidRPr="001C1A79">
        <w:t>Бийская</w:t>
      </w:r>
      <w:proofErr w:type="spellEnd"/>
      <w:r w:rsidRPr="001C1A79">
        <w:t xml:space="preserve"> ООШ, где необходима пристройка спортзала. В МОУ «Дмитриевская СОШ» требует капитального ремонта здание филиала Озеро-</w:t>
      </w:r>
      <w:proofErr w:type="spellStart"/>
      <w:r w:rsidRPr="001C1A79">
        <w:t>Куреевская</w:t>
      </w:r>
      <w:proofErr w:type="spellEnd"/>
      <w:r w:rsidRPr="001C1A79">
        <w:t xml:space="preserve"> ООШ.</w:t>
      </w:r>
    </w:p>
    <w:p w:rsidR="002259E5" w:rsidRPr="00AA467A" w:rsidRDefault="002259E5" w:rsidP="001F77AF">
      <w:pPr>
        <w:spacing w:before="60" w:afterLines="60" w:after="144"/>
        <w:ind w:firstLine="709"/>
        <w:jc w:val="both"/>
        <w:rPr>
          <w:color w:val="0D0D0D"/>
        </w:rPr>
      </w:pPr>
      <w:r w:rsidRPr="00AA467A">
        <w:rPr>
          <w:b/>
          <w:bCs/>
        </w:rPr>
        <w:t>(</w:t>
      </w:r>
      <w:r w:rsidR="005E001A" w:rsidRPr="00AA467A">
        <w:rPr>
          <w:b/>
          <w:bCs/>
        </w:rPr>
        <w:t>п.</w:t>
      </w:r>
      <w:r w:rsidRPr="00AA467A">
        <w:rPr>
          <w:b/>
          <w:bCs/>
          <w:color w:val="0D0D0D"/>
        </w:rPr>
        <w:t>16</w:t>
      </w:r>
      <w:proofErr w:type="gramStart"/>
      <w:r w:rsidRPr="00AA467A">
        <w:rPr>
          <w:b/>
          <w:bCs/>
          <w:color w:val="0D0D0D"/>
        </w:rPr>
        <w:t xml:space="preserve">) </w:t>
      </w:r>
      <w:r w:rsidRPr="00AA467A">
        <w:rPr>
          <w:color w:val="0D0D0D"/>
        </w:rPr>
        <w:t xml:space="preserve"> Доля</w:t>
      </w:r>
      <w:proofErr w:type="gramEnd"/>
      <w:r w:rsidRPr="00AA467A">
        <w:rPr>
          <w:color w:val="0D0D0D"/>
        </w:rPr>
        <w:t xml:space="preserve"> детей первой и второй группы здоровья в общей численности обучающихся в муниципальных общеобразовательных учреждениях составил</w:t>
      </w:r>
      <w:r w:rsidR="005E001A" w:rsidRPr="00AA467A">
        <w:rPr>
          <w:color w:val="0D0D0D"/>
        </w:rPr>
        <w:t>а</w:t>
      </w:r>
      <w:r w:rsidRPr="00AA467A">
        <w:rPr>
          <w:color w:val="0D0D0D"/>
        </w:rPr>
        <w:t xml:space="preserve"> в 2015 г. 69,8%. Уменьшение показателя к 2014 году на 3,59%. Численность детей первой и второй группы здоровья, обучающихся в муниципальных общеобразовательных учреждениях </w:t>
      </w:r>
      <w:proofErr w:type="gramStart"/>
      <w:r w:rsidRPr="00AA467A">
        <w:rPr>
          <w:color w:val="0D0D0D"/>
        </w:rPr>
        <w:t>поддерживается  в</w:t>
      </w:r>
      <w:proofErr w:type="gramEnd"/>
      <w:r w:rsidRPr="00AA467A">
        <w:rPr>
          <w:color w:val="0D0D0D"/>
        </w:rPr>
        <w:t xml:space="preserve"> результате организации горячего школьного питания, витаминизации продуктов питания и конструктивного подхода к физкультуре и спорту в муниципальных общеобразовательных учреждениях района, но продолжает увеличиваться общее количество школьников в районе. На плановый период ожидается понижение показателя.</w:t>
      </w:r>
    </w:p>
    <w:p w:rsidR="002259E5" w:rsidRPr="00AA467A" w:rsidRDefault="002259E5" w:rsidP="001F77AF">
      <w:pPr>
        <w:shd w:val="clear" w:color="auto" w:fill="FFFFFF" w:themeFill="background1"/>
        <w:spacing w:before="60" w:afterLines="60" w:after="144"/>
        <w:ind w:firstLine="709"/>
        <w:jc w:val="both"/>
        <w:rPr>
          <w:color w:val="0D0D0D"/>
        </w:rPr>
      </w:pPr>
      <w:r w:rsidRPr="00AA467A">
        <w:rPr>
          <w:b/>
          <w:color w:val="0D0D0D"/>
        </w:rPr>
        <w:t>(</w:t>
      </w:r>
      <w:r w:rsidR="005E001A" w:rsidRPr="00AA467A">
        <w:rPr>
          <w:b/>
          <w:color w:val="0D0D0D"/>
        </w:rPr>
        <w:t>п.</w:t>
      </w:r>
      <w:r w:rsidRPr="00AA467A">
        <w:rPr>
          <w:b/>
          <w:color w:val="0D0D0D"/>
        </w:rPr>
        <w:t>17)</w:t>
      </w:r>
      <w:r w:rsidRPr="00AA467A">
        <w:rPr>
          <w:color w:val="0D0D0D"/>
        </w:rPr>
        <w:t xml:space="preserve"> Доля детей, обучающихся в муниципальных общеобразовательных составила 569 человек, что составляет 26,4% от общей численности детей. Дальнейшее понижение не планируется, так как ресурсы школ исчерпаны полностью, требуется новое строительство.</w:t>
      </w:r>
    </w:p>
    <w:p w:rsidR="002259E5" w:rsidRPr="00AA467A" w:rsidRDefault="002259E5" w:rsidP="001F77AF">
      <w:pPr>
        <w:shd w:val="clear" w:color="auto" w:fill="FFFFFF" w:themeFill="background1"/>
        <w:spacing w:before="60" w:afterLines="60" w:after="144"/>
        <w:ind w:firstLine="709"/>
        <w:jc w:val="both"/>
        <w:rPr>
          <w:color w:val="262626"/>
        </w:rPr>
      </w:pPr>
      <w:r w:rsidRPr="00AA467A">
        <w:rPr>
          <w:b/>
          <w:bCs/>
          <w:color w:val="262626"/>
        </w:rPr>
        <w:t xml:space="preserve"> (</w:t>
      </w:r>
      <w:r w:rsidR="005E001A" w:rsidRPr="00AA467A">
        <w:rPr>
          <w:b/>
          <w:bCs/>
          <w:color w:val="262626"/>
        </w:rPr>
        <w:t>п.</w:t>
      </w:r>
      <w:r w:rsidRPr="00AA467A">
        <w:rPr>
          <w:b/>
          <w:bCs/>
          <w:color w:val="262626"/>
        </w:rPr>
        <w:t>18</w:t>
      </w:r>
      <w:proofErr w:type="gramStart"/>
      <w:r w:rsidRPr="00AA467A">
        <w:rPr>
          <w:b/>
          <w:bCs/>
          <w:color w:val="262626"/>
        </w:rPr>
        <w:t xml:space="preserve">) </w:t>
      </w:r>
      <w:r w:rsidRPr="00AA467A">
        <w:rPr>
          <w:color w:val="262626"/>
        </w:rPr>
        <w:t xml:space="preserve"> Общий</w:t>
      </w:r>
      <w:proofErr w:type="gramEnd"/>
      <w:r w:rsidRPr="00AA467A">
        <w:rPr>
          <w:color w:val="262626"/>
        </w:rPr>
        <w:t xml:space="preserve"> объём расходов бюджета муниципального образования на общее образование в 2014 году составляет 150 845,0 тыс</w:t>
      </w:r>
      <w:r w:rsidR="005E001A" w:rsidRPr="00AA467A">
        <w:rPr>
          <w:color w:val="262626"/>
        </w:rPr>
        <w:t>.</w:t>
      </w:r>
      <w:r w:rsidRPr="00AA467A">
        <w:rPr>
          <w:color w:val="262626"/>
        </w:rPr>
        <w:t xml:space="preserve"> рублей, а в 2015 году </w:t>
      </w:r>
      <w:r w:rsidR="005E001A" w:rsidRPr="00AA467A">
        <w:rPr>
          <w:color w:val="262626"/>
        </w:rPr>
        <w:t xml:space="preserve">- </w:t>
      </w:r>
      <w:r w:rsidRPr="00AA467A">
        <w:rPr>
          <w:color w:val="262626"/>
        </w:rPr>
        <w:t xml:space="preserve">150 710,0 тыс. рублей.  Наблюдается понижение показателя </w:t>
      </w:r>
      <w:proofErr w:type="gramStart"/>
      <w:r w:rsidRPr="00AA467A">
        <w:rPr>
          <w:color w:val="262626"/>
        </w:rPr>
        <w:t>на  0</w:t>
      </w:r>
      <w:proofErr w:type="gramEnd"/>
      <w:r w:rsidRPr="00AA467A">
        <w:rPr>
          <w:color w:val="262626"/>
        </w:rPr>
        <w:t>,001 %. В расчете на 1 обучающегося расходы составили 69</w:t>
      </w:r>
      <w:r w:rsidR="007526DE">
        <w:rPr>
          <w:color w:val="262626"/>
        </w:rPr>
        <w:t>,</w:t>
      </w:r>
      <w:r w:rsidRPr="00AA467A">
        <w:rPr>
          <w:color w:val="262626"/>
        </w:rPr>
        <w:t> 903 тыс. рублей.</w:t>
      </w:r>
    </w:p>
    <w:p w:rsidR="002259E5" w:rsidRPr="004C20A5" w:rsidRDefault="002259E5" w:rsidP="001F0CB1">
      <w:pPr>
        <w:spacing w:before="60" w:afterLines="60" w:after="144"/>
        <w:ind w:firstLine="709"/>
        <w:jc w:val="both"/>
      </w:pPr>
      <w:r w:rsidRPr="004C20A5">
        <w:rPr>
          <w:b/>
          <w:bCs/>
        </w:rPr>
        <w:t>(</w:t>
      </w:r>
      <w:r w:rsidR="005E001A" w:rsidRPr="004C20A5">
        <w:rPr>
          <w:b/>
          <w:bCs/>
        </w:rPr>
        <w:t>п.</w:t>
      </w:r>
      <w:r w:rsidRPr="004C20A5">
        <w:rPr>
          <w:b/>
          <w:bCs/>
        </w:rPr>
        <w:t>19)</w:t>
      </w:r>
      <w:r w:rsidRPr="004C20A5">
        <w:t xml:space="preserve"> </w:t>
      </w:r>
      <w:r w:rsidR="005A2235" w:rsidRPr="004C20A5">
        <w:t>Доля детей в возрасте 5-18 лет, получающих услуги по дополнительному образованию в организациях различно</w:t>
      </w:r>
      <w:r w:rsidR="004C20A5">
        <w:t>й организационно-правовой формы</w:t>
      </w:r>
      <w:r w:rsidR="005A2235" w:rsidRPr="004C20A5">
        <w:t xml:space="preserve">, в общей численности детей данной возрастной группы в 2015 году составила 88,55%, </w:t>
      </w:r>
      <w:r w:rsidR="005A2235" w:rsidRPr="004C20A5">
        <w:t xml:space="preserve">увеличение произошло на </w:t>
      </w:r>
      <w:r w:rsidR="005A2235" w:rsidRPr="004C20A5">
        <w:t>18,65</w:t>
      </w:r>
      <w:r w:rsidR="005A2235" w:rsidRPr="004C20A5">
        <w:t xml:space="preserve"> </w:t>
      </w:r>
      <w:proofErr w:type="spellStart"/>
      <w:r w:rsidR="001F0CB1" w:rsidRPr="004C20A5">
        <w:t>п.п</w:t>
      </w:r>
      <w:proofErr w:type="spellEnd"/>
      <w:r w:rsidR="001F0CB1" w:rsidRPr="004C20A5">
        <w:t>.,</w:t>
      </w:r>
      <w:r w:rsidR="005A2235" w:rsidRPr="004C20A5">
        <w:t xml:space="preserve"> </w:t>
      </w:r>
      <w:r w:rsidR="001F0CB1" w:rsidRPr="004C20A5">
        <w:t>за счет организации дополнительных у</w:t>
      </w:r>
      <w:r w:rsidR="005A2235" w:rsidRPr="004C20A5">
        <w:t xml:space="preserve">слуг </w:t>
      </w:r>
      <w:r w:rsidR="001F0CB1" w:rsidRPr="004C20A5">
        <w:t>в сфере</w:t>
      </w:r>
      <w:r w:rsidR="005A2235" w:rsidRPr="004C20A5">
        <w:t xml:space="preserve"> дополнительно</w:t>
      </w:r>
      <w:r w:rsidR="001F0CB1" w:rsidRPr="004C20A5">
        <w:t>го</w:t>
      </w:r>
      <w:r w:rsidR="005A2235" w:rsidRPr="004C20A5">
        <w:t xml:space="preserve"> образовани</w:t>
      </w:r>
      <w:r w:rsidR="001F0CB1" w:rsidRPr="004C20A5">
        <w:t>я</w:t>
      </w:r>
      <w:r w:rsidR="005A2235" w:rsidRPr="004C20A5">
        <w:t xml:space="preserve"> в организациях различной организационно-правовой формы собственности</w:t>
      </w:r>
      <w:r w:rsidR="001F0CB1" w:rsidRPr="004C20A5">
        <w:t xml:space="preserve">. </w:t>
      </w:r>
      <w:r w:rsidR="004C20A5">
        <w:t>К</w:t>
      </w:r>
      <w:r w:rsidR="001F0CB1" w:rsidRPr="004C20A5">
        <w:t xml:space="preserve"> 2018 году </w:t>
      </w:r>
      <w:r w:rsidR="004C20A5">
        <w:t>показатель сохранится на уровне 2015 года.</w:t>
      </w:r>
    </w:p>
    <w:p w:rsidR="00F92565" w:rsidRPr="00AA467A" w:rsidRDefault="00012028" w:rsidP="00012028">
      <w:pPr>
        <w:spacing w:before="60" w:afterLines="60" w:after="144"/>
        <w:ind w:firstLine="709"/>
        <w:jc w:val="center"/>
        <w:rPr>
          <w:b/>
          <w:bCs/>
          <w:color w:val="000000"/>
        </w:rPr>
      </w:pPr>
      <w:r>
        <w:rPr>
          <w:b/>
          <w:bCs/>
          <w:lang w:val="en-US"/>
        </w:rPr>
        <w:t>IV</w:t>
      </w:r>
      <w:r w:rsidRPr="004E75E2">
        <w:rPr>
          <w:b/>
          <w:bCs/>
        </w:rPr>
        <w:t>.</w:t>
      </w:r>
      <w:r w:rsidR="00F92565" w:rsidRPr="00AA467A">
        <w:rPr>
          <w:b/>
          <w:bCs/>
          <w:color w:val="000000"/>
        </w:rPr>
        <w:t xml:space="preserve"> Культура</w:t>
      </w:r>
    </w:p>
    <w:p w:rsidR="008748E4" w:rsidRPr="00D57C06" w:rsidRDefault="008748E4" w:rsidP="008748E4">
      <w:pPr>
        <w:spacing w:before="60" w:afterLines="60" w:after="144"/>
        <w:ind w:firstLine="709"/>
        <w:jc w:val="both"/>
        <w:rPr>
          <w:i/>
          <w:iCs/>
        </w:rPr>
      </w:pPr>
      <w:r w:rsidRPr="00D57C06">
        <w:t>(</w:t>
      </w:r>
      <w:r w:rsidRPr="00D57C06">
        <w:rPr>
          <w:b/>
          <w:bCs/>
        </w:rPr>
        <w:t>п.20</w:t>
      </w:r>
      <w:r>
        <w:rPr>
          <w:b/>
          <w:bCs/>
        </w:rPr>
        <w:t xml:space="preserve">) </w:t>
      </w:r>
      <w:r w:rsidRPr="00D57C06">
        <w:rPr>
          <w:i/>
          <w:iCs/>
        </w:rPr>
        <w:t>Уровень фактической обеспеченности учрежде</w:t>
      </w:r>
      <w:r>
        <w:rPr>
          <w:i/>
          <w:iCs/>
        </w:rPr>
        <w:t>ниями культуры в муниципальном р</w:t>
      </w:r>
      <w:r w:rsidRPr="00D57C06">
        <w:rPr>
          <w:i/>
          <w:iCs/>
        </w:rPr>
        <w:t xml:space="preserve">айоне от нормативной потребности: </w:t>
      </w:r>
    </w:p>
    <w:p w:rsidR="008748E4" w:rsidRPr="00D57C06" w:rsidRDefault="008748E4" w:rsidP="007526DE">
      <w:pPr>
        <w:spacing w:before="60" w:afterLines="60" w:after="144"/>
        <w:ind w:firstLine="709"/>
        <w:jc w:val="both"/>
        <w:rPr>
          <w:rStyle w:val="FontStyle299"/>
          <w:b/>
          <w:bCs/>
        </w:rPr>
      </w:pPr>
      <w:r w:rsidRPr="00D57C06">
        <w:rPr>
          <w:i/>
          <w:iCs/>
        </w:rPr>
        <w:t>-клубами и учреждениями клубного типа:</w:t>
      </w:r>
      <w:r w:rsidRPr="00D57C06">
        <w:t xml:space="preserve"> Фактически в районе 19 клубных учреждений</w:t>
      </w:r>
      <w:r>
        <w:t xml:space="preserve"> культурно-досугового </w:t>
      </w:r>
      <w:proofErr w:type="gramStart"/>
      <w:r>
        <w:t>типа(</w:t>
      </w:r>
      <w:proofErr w:type="gramEnd"/>
      <w:r>
        <w:t>структурных подразделений)</w:t>
      </w:r>
      <w:r w:rsidRPr="00D57C06">
        <w:t>, из них 11 СДК, 7 СК,1 «Дом Творчества и Досуга» в них посадочных мест- 1836 ед. Уровень обеспече</w:t>
      </w:r>
      <w:r>
        <w:t>нности в 201</w:t>
      </w:r>
      <w:r w:rsidRPr="00B3473D">
        <w:t>5</w:t>
      </w:r>
      <w:r>
        <w:t>г. составил 100,82%</w:t>
      </w:r>
      <w:r w:rsidRPr="00D57C06">
        <w:rPr>
          <w:rStyle w:val="FontStyle299"/>
        </w:rPr>
        <w:t>.</w:t>
      </w:r>
    </w:p>
    <w:p w:rsidR="008748E4" w:rsidRPr="00D57C06" w:rsidRDefault="008748E4" w:rsidP="008748E4">
      <w:pPr>
        <w:spacing w:before="100" w:beforeAutospacing="1" w:after="100" w:afterAutospacing="1"/>
        <w:ind w:firstLine="709"/>
        <w:jc w:val="both"/>
        <w:rPr>
          <w:rStyle w:val="FontStyle299"/>
        </w:rPr>
      </w:pPr>
      <w:r w:rsidRPr="00D57C06">
        <w:rPr>
          <w:rStyle w:val="FontStyle299"/>
        </w:rPr>
        <w:t xml:space="preserve">Нормативная потребность в зрительских местах в клубах и учреждениях клубного </w:t>
      </w:r>
      <w:r>
        <w:rPr>
          <w:rStyle w:val="FontStyle299"/>
        </w:rPr>
        <w:t>типа в Турочакском районе в 201</w:t>
      </w:r>
      <w:r w:rsidRPr="00B3473D">
        <w:rPr>
          <w:rStyle w:val="FontStyle299"/>
        </w:rPr>
        <w:t>5</w:t>
      </w:r>
      <w:r w:rsidRPr="00D57C06">
        <w:rPr>
          <w:rStyle w:val="FontStyle299"/>
        </w:rPr>
        <w:t>г. составляет 1821 ед.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00"/>
        <w:gridCol w:w="2551"/>
        <w:gridCol w:w="3060"/>
      </w:tblGrid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№п\п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Сельские дома культуры в селах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Численность населения на конец года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>
              <w:rPr>
                <w:rStyle w:val="FontStyle299"/>
              </w:rPr>
              <w:t>Фактическое к</w:t>
            </w:r>
            <w:r w:rsidRPr="00D57C06">
              <w:rPr>
                <w:rStyle w:val="FontStyle299"/>
              </w:rPr>
              <w:t>оличество зрительских мест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1.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Турочак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5715</w:t>
            </w:r>
          </w:p>
        </w:tc>
        <w:tc>
          <w:tcPr>
            <w:tcW w:w="3060" w:type="dxa"/>
          </w:tcPr>
          <w:p w:rsidR="008748E4" w:rsidRPr="00DF2CE0" w:rsidRDefault="008748E4" w:rsidP="006C1D6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350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2.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Майск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131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3.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Озеро-</w:t>
            </w:r>
            <w:proofErr w:type="spellStart"/>
            <w:r w:rsidRPr="00D57C06">
              <w:rPr>
                <w:rStyle w:val="FontStyle299"/>
              </w:rPr>
              <w:t>Куреево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384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138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4.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Дмитриевка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607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124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5.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Курмач-Байгол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211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6.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Иогач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1322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7.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Верх-Бийск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465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172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8.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Тондошка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294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9.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Бийка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537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10.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Каяшкан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138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11.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Кебезень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615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 w:rsidRPr="00D57C06">
              <w:rPr>
                <w:rStyle w:val="FontStyle299"/>
              </w:rPr>
              <w:t>12.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Усть</w:t>
            </w:r>
            <w:proofErr w:type="spellEnd"/>
            <w:r w:rsidRPr="00D57C06">
              <w:rPr>
                <w:rStyle w:val="FontStyle299"/>
              </w:rPr>
              <w:t>-Пыжа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158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rPr>
                <w:rStyle w:val="FontStyle299"/>
              </w:rPr>
            </w:pP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Сельские клубы</w:t>
            </w:r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13.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Яйлю</w:t>
            </w:r>
            <w:proofErr w:type="spellEnd"/>
          </w:p>
        </w:tc>
        <w:tc>
          <w:tcPr>
            <w:tcW w:w="2551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183</w:t>
            </w:r>
          </w:p>
        </w:tc>
        <w:tc>
          <w:tcPr>
            <w:tcW w:w="3060" w:type="dxa"/>
            <w:vAlign w:val="center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14.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Каначак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>
              <w:t>106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  <w:rPr>
                <w:rStyle w:val="FontStyle299"/>
              </w:rPr>
            </w:pPr>
            <w:r>
              <w:rPr>
                <w:rStyle w:val="FontStyle299"/>
              </w:rPr>
              <w:t>123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 xml:space="preserve"> 15.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proofErr w:type="spellStart"/>
            <w:r w:rsidRPr="00D57C06">
              <w:rPr>
                <w:rStyle w:val="FontStyle299"/>
              </w:rPr>
              <w:t>Удаловка</w:t>
            </w:r>
            <w:proofErr w:type="spellEnd"/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160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16.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Санькино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 w:rsidRPr="00D57C06">
              <w:t>1</w:t>
            </w:r>
            <w:r>
              <w:t>15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17.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Чуйка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18.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Заречье(Кебезень</w:t>
            </w:r>
            <w:r>
              <w:rPr>
                <w:rStyle w:val="FontStyle299"/>
              </w:rPr>
              <w:t xml:space="preserve">) 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149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</w:tr>
      <w:tr w:rsidR="008748E4" w:rsidRPr="00D57C06" w:rsidTr="006C1D65">
        <w:trPr>
          <w:jc w:val="center"/>
        </w:trPr>
        <w:tc>
          <w:tcPr>
            <w:tcW w:w="675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19.</w:t>
            </w:r>
          </w:p>
        </w:tc>
        <w:tc>
          <w:tcPr>
            <w:tcW w:w="280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both"/>
              <w:rPr>
                <w:rStyle w:val="FontStyle299"/>
              </w:rPr>
            </w:pPr>
            <w:r w:rsidRPr="00D57C06">
              <w:rPr>
                <w:rStyle w:val="FontStyle299"/>
              </w:rPr>
              <w:t>Тулой</w:t>
            </w:r>
          </w:p>
        </w:tc>
        <w:tc>
          <w:tcPr>
            <w:tcW w:w="2551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196</w:t>
            </w:r>
          </w:p>
        </w:tc>
        <w:tc>
          <w:tcPr>
            <w:tcW w:w="3060" w:type="dxa"/>
          </w:tcPr>
          <w:p w:rsidR="008748E4" w:rsidRPr="00D57C06" w:rsidRDefault="008748E4" w:rsidP="006C1D6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</w:tbl>
    <w:p w:rsidR="008748E4" w:rsidRPr="00D57C06" w:rsidRDefault="008748E4" w:rsidP="008748E4">
      <w:pPr>
        <w:spacing w:before="100" w:beforeAutospacing="1" w:after="100" w:afterAutospacing="1"/>
        <w:ind w:firstLine="720"/>
        <w:jc w:val="both"/>
        <w:rPr>
          <w:b/>
          <w:bCs/>
        </w:rPr>
      </w:pPr>
      <w:r w:rsidRPr="00D57C06">
        <w:rPr>
          <w:i/>
          <w:iCs/>
        </w:rPr>
        <w:t>-библиотеками:</w:t>
      </w:r>
      <w:r w:rsidR="007526DE">
        <w:rPr>
          <w:i/>
          <w:iCs/>
        </w:rPr>
        <w:t xml:space="preserve"> </w:t>
      </w:r>
      <w:r w:rsidRPr="00D57C06">
        <w:t>Фактически в районе организовано 13 библиотек с учетом потребностей и обеспеченности библиотеками в расчете на численность населения района, степени удаленности данных учреждений от мест проживания населения. Исходя из методики расчета по норме должно быть 17 библиотек в районе. По факту</w:t>
      </w:r>
      <w:r w:rsidR="007526DE">
        <w:t xml:space="preserve"> в </w:t>
      </w:r>
      <w:r w:rsidRPr="00D57C06">
        <w:t>отчетно</w:t>
      </w:r>
      <w:r w:rsidR="007526DE">
        <w:t>м</w:t>
      </w:r>
      <w:r w:rsidRPr="00D57C06">
        <w:t xml:space="preserve"> период</w:t>
      </w:r>
      <w:r w:rsidR="007526DE">
        <w:t>е</w:t>
      </w:r>
      <w:r w:rsidRPr="00D57C06">
        <w:t xml:space="preserve"> обеспеченнос</w:t>
      </w:r>
      <w:r>
        <w:t xml:space="preserve">ть населения библиотеками </w:t>
      </w:r>
      <w:r w:rsidR="007526DE">
        <w:t xml:space="preserve">составила </w:t>
      </w:r>
      <w:r>
        <w:t>76,47</w:t>
      </w:r>
      <w:r w:rsidRPr="00D57C06">
        <w:t>%.</w:t>
      </w:r>
    </w:p>
    <w:p w:rsidR="008748E4" w:rsidRPr="00D57C06" w:rsidRDefault="008748E4" w:rsidP="008748E4">
      <w:pPr>
        <w:ind w:firstLine="720"/>
        <w:jc w:val="both"/>
      </w:pPr>
      <w:r w:rsidRPr="00D57C06">
        <w:t xml:space="preserve">В настоящее время на территории Турочакского района находится 13 </w:t>
      </w:r>
      <w:r>
        <w:t>общедоступных</w:t>
      </w:r>
      <w:r w:rsidRPr="00D57C06">
        <w:t xml:space="preserve"> библиотек</w:t>
      </w:r>
      <w:r w:rsidR="007526DE">
        <w:t xml:space="preserve"> </w:t>
      </w:r>
      <w:r>
        <w:t>(структурные подразделения)</w:t>
      </w:r>
      <w:r w:rsidRPr="00D57C06">
        <w:t>. Согласно «Модельного стандарта деятельности общедоступных библиотек РА» 2015 года на территории каждого крупного поселка, района (750-1000 жителей</w:t>
      </w:r>
      <w:r>
        <w:t>)</w:t>
      </w:r>
      <w:r w:rsidRPr="00D57C06">
        <w:t>, удаленных на 5 и более километров должно располагаться не менее одной общедоступной библиотеки.</w:t>
      </w:r>
    </w:p>
    <w:p w:rsidR="008748E4" w:rsidRPr="00D57C06" w:rsidRDefault="008748E4" w:rsidP="008748E4">
      <w:pPr>
        <w:spacing w:before="60" w:afterLines="60" w:after="144"/>
        <w:ind w:firstLine="720"/>
        <w:jc w:val="both"/>
      </w:pPr>
      <w:r w:rsidRPr="00D57C06">
        <w:t>В других поселениях организуется нестационарная библиотечная сеть, которая является предметом заботы не только руководства центральной библиотеки, но и районных органов управления культурой, а также сельской администрации (помещение, транспорт, выполнение графика обслуживания</w:t>
      </w:r>
      <w:r>
        <w:t>)</w:t>
      </w:r>
      <w:r w:rsidRPr="00D57C06">
        <w:t>.</w:t>
      </w:r>
    </w:p>
    <w:p w:rsidR="008748E4" w:rsidRPr="00D57C06" w:rsidRDefault="008748E4" w:rsidP="008748E4">
      <w:pPr>
        <w:spacing w:before="60" w:afterLines="60" w:after="144"/>
        <w:ind w:firstLine="720"/>
        <w:jc w:val="both"/>
      </w:pPr>
      <w:r w:rsidRPr="00D57C06">
        <w:t xml:space="preserve"> В труднодоступных (северных</w:t>
      </w:r>
      <w:r>
        <w:t xml:space="preserve">) </w:t>
      </w:r>
      <w:r w:rsidRPr="00D57C06">
        <w:t>и удаленных поселениях с количеством жителей 200 и более допускается открытие и содержание стационарной библиотеки. Кроме того, если библиотека ведет надомное обслуживание ветеранов войны и труда, инвалидов, то норматив населения на одну библиотеку может быть уменьшен (но не менее 150 жителей</w:t>
      </w:r>
      <w:r>
        <w:t>)</w:t>
      </w:r>
      <w:r w:rsidRPr="00D57C06">
        <w:t>.</w:t>
      </w:r>
    </w:p>
    <w:p w:rsidR="008748E4" w:rsidRPr="00D57C06" w:rsidRDefault="008748E4" w:rsidP="008748E4">
      <w:pPr>
        <w:spacing w:before="60" w:afterLines="60" w:after="144"/>
        <w:ind w:firstLine="720"/>
        <w:jc w:val="both"/>
      </w:pPr>
      <w:r w:rsidRPr="00D57C06">
        <w:t>В соответствии с названными нормативами в Турочакском районе для доступности библиотек правомочно открытие библиотек в Артыбаше (554 жителя</w:t>
      </w:r>
      <w:r>
        <w:t>)</w:t>
      </w:r>
      <w:r w:rsidRPr="00D57C06">
        <w:t xml:space="preserve">, в </w:t>
      </w:r>
      <w:proofErr w:type="spellStart"/>
      <w:r w:rsidRPr="00D57C06">
        <w:t>Тулое</w:t>
      </w:r>
      <w:proofErr w:type="spellEnd"/>
      <w:r w:rsidR="007526DE">
        <w:t xml:space="preserve"> </w:t>
      </w:r>
      <w:r w:rsidRPr="00D57C06">
        <w:t>(223 жителя, 10км. До с. Кебезень</w:t>
      </w:r>
      <w:r>
        <w:t>)</w:t>
      </w:r>
      <w:r w:rsidRPr="00D57C06">
        <w:t>, У-Пыжи</w:t>
      </w:r>
      <w:r w:rsidR="007526DE">
        <w:t xml:space="preserve"> </w:t>
      </w:r>
      <w:r w:rsidRPr="00D57C06">
        <w:t>(166 жителей, 5 км. До с. Кебезень</w:t>
      </w:r>
      <w:r>
        <w:t>)</w:t>
      </w:r>
      <w:r w:rsidRPr="00D57C06">
        <w:t xml:space="preserve"> и </w:t>
      </w:r>
      <w:proofErr w:type="spellStart"/>
      <w:r w:rsidRPr="00D57C06">
        <w:t>Каяшкане</w:t>
      </w:r>
      <w:proofErr w:type="spellEnd"/>
      <w:r w:rsidRPr="00D57C06">
        <w:t xml:space="preserve"> (150 жителей, 27 км. До с.</w:t>
      </w:r>
      <w:r w:rsidR="007526DE">
        <w:t xml:space="preserve"> </w:t>
      </w:r>
      <w:r w:rsidRPr="00D57C06">
        <w:t>Турочак</w:t>
      </w:r>
      <w:r>
        <w:t>)</w:t>
      </w:r>
      <w:r w:rsidRPr="00D57C06">
        <w:t>. Размер книжных фондов библиотек в сельской местности определяется из расчета 4-9 книг на 1 жителя зоны обслуживания. В Турочакском районе средняя</w:t>
      </w:r>
      <w:r w:rsidR="007526DE">
        <w:t xml:space="preserve"> </w:t>
      </w:r>
      <w:proofErr w:type="spellStart"/>
      <w:r w:rsidRPr="00D57C06">
        <w:t>книгообеспеченность</w:t>
      </w:r>
      <w:proofErr w:type="spellEnd"/>
      <w:r w:rsidRPr="00D57C06">
        <w:t xml:space="preserve"> на 1 жителя составляет 9 книг.</w:t>
      </w:r>
    </w:p>
    <w:p w:rsidR="008748E4" w:rsidRPr="00D57C06" w:rsidRDefault="008748E4" w:rsidP="008748E4">
      <w:pPr>
        <w:spacing w:before="60" w:afterLines="60" w:after="144"/>
        <w:ind w:firstLine="720"/>
        <w:jc w:val="both"/>
      </w:pPr>
      <w:r w:rsidRPr="00D57C06">
        <w:t xml:space="preserve">По паркам культуры и отдыха нулевые показатели, так как в муниципальном образовании парков культуры и отдыха нет. </w:t>
      </w:r>
    </w:p>
    <w:p w:rsidR="008748E4" w:rsidRPr="00D57C06" w:rsidRDefault="008748E4" w:rsidP="008748E4">
      <w:pPr>
        <w:spacing w:before="60" w:afterLines="60" w:after="144"/>
        <w:ind w:firstLine="720"/>
        <w:jc w:val="both"/>
        <w:rPr>
          <w:b/>
          <w:bCs/>
        </w:rPr>
      </w:pPr>
      <w:r w:rsidRPr="00D57C06">
        <w:rPr>
          <w:b/>
          <w:bCs/>
        </w:rPr>
        <w:t>(п.21</w:t>
      </w:r>
      <w:r>
        <w:rPr>
          <w:b/>
          <w:bCs/>
        </w:rPr>
        <w:t xml:space="preserve">) </w:t>
      </w:r>
      <w:r w:rsidRPr="00012028">
        <w:t>До</w:t>
      </w:r>
      <w:r w:rsidRPr="00012028">
        <w:rPr>
          <w:iCs/>
        </w:rPr>
        <w:t>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D57C06">
        <w:rPr>
          <w:color w:val="FF0000"/>
        </w:rPr>
        <w:t xml:space="preserve">, </w:t>
      </w:r>
      <w:r>
        <w:t>составила в 2015</w:t>
      </w:r>
      <w:r w:rsidR="00012028">
        <w:t xml:space="preserve"> </w:t>
      </w:r>
      <w:r w:rsidRPr="00D57C06">
        <w:t>г. 3,125%. Показатель не изменился, т.к. количество муниципальных учреждений культуры, здания, которые требуют капитального ремонта, составля</w:t>
      </w:r>
      <w:r w:rsidR="00012028">
        <w:t>е</w:t>
      </w:r>
      <w:r w:rsidRPr="00D57C06">
        <w:t>т 1 единиц</w:t>
      </w:r>
      <w:r w:rsidR="00012028">
        <w:t>а</w:t>
      </w:r>
      <w:r w:rsidRPr="00D57C06">
        <w:t xml:space="preserve"> («Дом Творчества и Досуга»</w:t>
      </w:r>
      <w:r>
        <w:t>)</w:t>
      </w:r>
      <w:r w:rsidRPr="00D57C06">
        <w:t>, и требуют ремонта – 5 единиц (Озеро-</w:t>
      </w:r>
      <w:proofErr w:type="spellStart"/>
      <w:r w:rsidRPr="00D57C06">
        <w:t>Куреевский</w:t>
      </w:r>
      <w:proofErr w:type="spellEnd"/>
      <w:r w:rsidRPr="00D57C06">
        <w:t xml:space="preserve"> СДК, </w:t>
      </w:r>
      <w:proofErr w:type="spellStart"/>
      <w:r w:rsidRPr="00D57C06">
        <w:t>Кебезенский</w:t>
      </w:r>
      <w:proofErr w:type="spellEnd"/>
      <w:r w:rsidRPr="00D57C06">
        <w:t xml:space="preserve"> СДК, Верх-</w:t>
      </w:r>
      <w:proofErr w:type="spellStart"/>
      <w:r w:rsidRPr="00D57C06">
        <w:t>Бийский</w:t>
      </w:r>
      <w:proofErr w:type="spellEnd"/>
      <w:r w:rsidRPr="00D57C06">
        <w:t xml:space="preserve"> СДК, </w:t>
      </w:r>
      <w:proofErr w:type="spellStart"/>
      <w:r w:rsidRPr="00D57C06">
        <w:t>Каначакский</w:t>
      </w:r>
      <w:proofErr w:type="spellEnd"/>
      <w:r w:rsidRPr="00D57C06">
        <w:t xml:space="preserve"> СК и здание «Дота Творчества и Досуга</w:t>
      </w:r>
      <w:r>
        <w:t>)</w:t>
      </w:r>
      <w:r w:rsidRPr="00D57C06">
        <w:t>.</w:t>
      </w:r>
      <w:r w:rsidR="00012028">
        <w:t xml:space="preserve"> </w:t>
      </w:r>
      <w:r w:rsidRPr="00D57C06">
        <w:t xml:space="preserve">Общее количество муниципальных учреждений </w:t>
      </w:r>
      <w:proofErr w:type="gramStart"/>
      <w:r w:rsidRPr="00D57C06">
        <w:t>кул</w:t>
      </w:r>
      <w:r>
        <w:t>ьтуры(</w:t>
      </w:r>
      <w:proofErr w:type="gramEnd"/>
      <w:r>
        <w:t>структурные подразделения) в 2014-2015</w:t>
      </w:r>
      <w:r w:rsidR="00012028">
        <w:t xml:space="preserve"> </w:t>
      </w:r>
      <w:r w:rsidRPr="00D57C06">
        <w:t xml:space="preserve">гг. </w:t>
      </w:r>
      <w:r>
        <w:t>32</w:t>
      </w:r>
      <w:r w:rsidRPr="00D57C06">
        <w:t xml:space="preserve"> единиц</w:t>
      </w:r>
      <w:r>
        <w:t>ы (19</w:t>
      </w:r>
      <w:r w:rsidRPr="00D57C06">
        <w:t xml:space="preserve"> учреждений </w:t>
      </w:r>
      <w:r>
        <w:t xml:space="preserve">культурно-досугового типа, </w:t>
      </w:r>
      <w:r w:rsidRPr="00D57C06">
        <w:t xml:space="preserve"> 13 библиотек</w:t>
      </w:r>
      <w:r>
        <w:t xml:space="preserve">) </w:t>
      </w:r>
      <w:r w:rsidRPr="00D57C06">
        <w:t>.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Fonts w:ascii="Times New Roman" w:hAnsi="Times New Roman" w:cs="Times New Roman"/>
          <w:b/>
          <w:bCs/>
        </w:rPr>
        <w:t>(п.22</w:t>
      </w:r>
      <w:r>
        <w:rPr>
          <w:rFonts w:ascii="Times New Roman" w:hAnsi="Times New Roman" w:cs="Times New Roman"/>
          <w:b/>
          <w:bCs/>
        </w:rPr>
        <w:t xml:space="preserve">) </w:t>
      </w:r>
      <w:r w:rsidRPr="00D57C06">
        <w:rPr>
          <w:rFonts w:ascii="Times New Roman" w:hAnsi="Times New Roman" w:cs="Times New Roman"/>
          <w:i/>
          <w:iCs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</w:r>
      <w:r w:rsidRPr="00D57C06">
        <w:rPr>
          <w:rFonts w:ascii="Times New Roman" w:hAnsi="Times New Roman" w:cs="Times New Roman"/>
        </w:rPr>
        <w:t xml:space="preserve">, </w:t>
      </w:r>
      <w:r w:rsidRPr="00D57C06">
        <w:rPr>
          <w:rFonts w:ascii="Times New Roman" w:hAnsi="Times New Roman" w:cs="Times New Roman"/>
          <w:i/>
          <w:iCs/>
        </w:rPr>
        <w:t>находящихся в муниципальной собственности - 0</w:t>
      </w:r>
      <w:r w:rsidRPr="00D57C06">
        <w:rPr>
          <w:rFonts w:ascii="Times New Roman" w:hAnsi="Times New Roman" w:cs="Times New Roman"/>
        </w:rPr>
        <w:t>, т.к.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>на территории района отсутствуют объекты культурного наследия.</w:t>
      </w:r>
    </w:p>
    <w:p w:rsidR="008748E4" w:rsidRPr="00D57C06" w:rsidRDefault="008748E4" w:rsidP="008748E4">
      <w:pPr>
        <w:spacing w:before="60" w:afterLines="60" w:after="144"/>
        <w:ind w:firstLine="720"/>
        <w:jc w:val="both"/>
        <w:rPr>
          <w:rStyle w:val="FontStyle299"/>
        </w:rPr>
      </w:pPr>
      <w:r w:rsidRPr="00D57C06">
        <w:t xml:space="preserve"> Мероприятия, направленные на плановое достижение </w:t>
      </w:r>
      <w:r w:rsidRPr="00D57C06">
        <w:rPr>
          <w:rStyle w:val="FontStyle299"/>
        </w:rPr>
        <w:t>положительной динамики показателей: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Fonts w:ascii="Times New Roman" w:hAnsi="Times New Roman" w:cs="Times New Roman"/>
        </w:rPr>
        <w:t>-создание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>мастерских по народным промыслам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>(гранд заявлен</w:t>
      </w:r>
      <w:r>
        <w:rPr>
          <w:rFonts w:ascii="Times New Roman" w:hAnsi="Times New Roman" w:cs="Times New Roman"/>
        </w:rPr>
        <w:t>)</w:t>
      </w:r>
      <w:r w:rsidRPr="00D57C06">
        <w:rPr>
          <w:rFonts w:ascii="Times New Roman" w:hAnsi="Times New Roman" w:cs="Times New Roman"/>
        </w:rPr>
        <w:t>;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  <w:b/>
          <w:bCs/>
        </w:rPr>
      </w:pPr>
      <w:r w:rsidRPr="00D57C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косметический</w:t>
      </w:r>
      <w:r w:rsidRPr="00D57C06">
        <w:rPr>
          <w:rFonts w:ascii="Times New Roman" w:hAnsi="Times New Roman" w:cs="Times New Roman"/>
        </w:rPr>
        <w:t xml:space="preserve"> ремонт сельских Домов культуры в с.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>Озеро-</w:t>
      </w:r>
      <w:proofErr w:type="spellStart"/>
      <w:r w:rsidRPr="00D57C06">
        <w:rPr>
          <w:rFonts w:ascii="Times New Roman" w:hAnsi="Times New Roman" w:cs="Times New Roman"/>
        </w:rPr>
        <w:t>Куреево</w:t>
      </w:r>
      <w:proofErr w:type="spellEnd"/>
      <w:r w:rsidRPr="00D57C06">
        <w:rPr>
          <w:rFonts w:ascii="Times New Roman" w:hAnsi="Times New Roman" w:cs="Times New Roman"/>
        </w:rPr>
        <w:t>, в с.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 xml:space="preserve">Кебезень, </w:t>
      </w:r>
      <w:proofErr w:type="spellStart"/>
      <w:r w:rsidRPr="00D57C06">
        <w:rPr>
          <w:rFonts w:ascii="Times New Roman" w:hAnsi="Times New Roman" w:cs="Times New Roman"/>
        </w:rPr>
        <w:t>с.Верх</w:t>
      </w:r>
      <w:proofErr w:type="spellEnd"/>
      <w:r w:rsidRPr="00D57C06">
        <w:rPr>
          <w:rFonts w:ascii="Times New Roman" w:hAnsi="Times New Roman" w:cs="Times New Roman"/>
        </w:rPr>
        <w:t>-Бийск и с.</w:t>
      </w:r>
      <w:r w:rsidR="00012028">
        <w:rPr>
          <w:rFonts w:ascii="Times New Roman" w:hAnsi="Times New Roman" w:cs="Times New Roman"/>
        </w:rPr>
        <w:t xml:space="preserve"> </w:t>
      </w:r>
      <w:r w:rsidRPr="00D57C06">
        <w:rPr>
          <w:rFonts w:ascii="Times New Roman" w:hAnsi="Times New Roman" w:cs="Times New Roman"/>
        </w:rPr>
        <w:t xml:space="preserve">Каначак, </w:t>
      </w:r>
      <w:r>
        <w:rPr>
          <w:rFonts w:ascii="Times New Roman" w:hAnsi="Times New Roman" w:cs="Times New Roman"/>
        </w:rPr>
        <w:t>косметический</w:t>
      </w:r>
      <w:r w:rsidRPr="00D57C06">
        <w:rPr>
          <w:rFonts w:ascii="Times New Roman" w:hAnsi="Times New Roman" w:cs="Times New Roman"/>
        </w:rPr>
        <w:t xml:space="preserve"> ремонт «Дома Творчества и досуга» в </w:t>
      </w:r>
      <w:proofErr w:type="spellStart"/>
      <w:r w:rsidRPr="00D57C06">
        <w:rPr>
          <w:rFonts w:ascii="Times New Roman" w:hAnsi="Times New Roman" w:cs="Times New Roman"/>
        </w:rPr>
        <w:t>с.Турочак</w:t>
      </w:r>
      <w:proofErr w:type="spellEnd"/>
      <w:r w:rsidRPr="00D57C06">
        <w:rPr>
          <w:rFonts w:ascii="Times New Roman" w:hAnsi="Times New Roman" w:cs="Times New Roman"/>
        </w:rPr>
        <w:t>.</w:t>
      </w:r>
    </w:p>
    <w:p w:rsidR="008748E4" w:rsidRPr="00D57C06" w:rsidRDefault="008748E4" w:rsidP="008748E4">
      <w:pPr>
        <w:pStyle w:val="Style161"/>
        <w:widowControl/>
        <w:spacing w:before="60" w:afterLines="60" w:after="144"/>
        <w:ind w:firstLine="720"/>
        <w:jc w:val="both"/>
        <w:rPr>
          <w:rStyle w:val="FontStyle299"/>
        </w:rPr>
      </w:pPr>
      <w:r w:rsidRPr="00D57C06">
        <w:rPr>
          <w:rStyle w:val="FontStyle299"/>
        </w:rPr>
        <w:t>В целом по развитию культ</w:t>
      </w:r>
      <w:r>
        <w:rPr>
          <w:rStyle w:val="FontStyle299"/>
        </w:rPr>
        <w:t>уры в прогнозном периоде на 2016-2018</w:t>
      </w:r>
      <w:r w:rsidRPr="00D57C06">
        <w:rPr>
          <w:rStyle w:val="FontStyle299"/>
        </w:rPr>
        <w:t>гг. планируется реализация ряда мероприятий, таких как:</w:t>
      </w:r>
    </w:p>
    <w:p w:rsidR="008748E4" w:rsidRPr="00D57C06" w:rsidRDefault="008748E4" w:rsidP="008748E4">
      <w:pPr>
        <w:pStyle w:val="Style161"/>
        <w:widowControl/>
        <w:spacing w:before="60" w:afterLines="60" w:after="144"/>
        <w:ind w:firstLine="720"/>
        <w:jc w:val="both"/>
        <w:rPr>
          <w:rStyle w:val="FontStyle299"/>
        </w:rPr>
      </w:pPr>
      <w:r w:rsidRPr="00D57C06">
        <w:rPr>
          <w:rStyle w:val="FontStyle299"/>
        </w:rPr>
        <w:t>-приобретение оргтехники, персональных компьютеров для открытия компьютерного зала в районной библиотеке;</w:t>
      </w:r>
    </w:p>
    <w:p w:rsidR="008748E4" w:rsidRPr="00D57C06" w:rsidRDefault="008748E4" w:rsidP="008748E4">
      <w:pPr>
        <w:pStyle w:val="Style161"/>
        <w:widowControl/>
        <w:spacing w:before="60" w:afterLines="60" w:after="144"/>
        <w:ind w:firstLine="720"/>
        <w:jc w:val="both"/>
        <w:rPr>
          <w:rStyle w:val="FontStyle299"/>
        </w:rPr>
      </w:pPr>
      <w:r w:rsidRPr="00D57C06">
        <w:rPr>
          <w:rStyle w:val="FontStyle299"/>
        </w:rPr>
        <w:t>-повышение качества работы специалистов путем переподготовки кадров и их аттестации;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Style w:val="FontStyle299"/>
        </w:rPr>
      </w:pPr>
      <w:r w:rsidRPr="00D57C06">
        <w:rPr>
          <w:rStyle w:val="FontStyle299"/>
        </w:rPr>
        <w:t xml:space="preserve">-привлечение молодых высококвалифицированных работников (в </w:t>
      </w:r>
      <w:proofErr w:type="spellStart"/>
      <w:r w:rsidRPr="00D57C06">
        <w:rPr>
          <w:rStyle w:val="FontStyle299"/>
        </w:rPr>
        <w:t>с.Кебезень</w:t>
      </w:r>
      <w:proofErr w:type="spellEnd"/>
      <w:r w:rsidRPr="00D57C06">
        <w:rPr>
          <w:rStyle w:val="FontStyle299"/>
        </w:rPr>
        <w:t>, Верх-Бийск</w:t>
      </w:r>
      <w:r>
        <w:rPr>
          <w:rStyle w:val="FontStyle299"/>
        </w:rPr>
        <w:t>)</w:t>
      </w:r>
      <w:r w:rsidRPr="00D57C06">
        <w:rPr>
          <w:rStyle w:val="FontStyle299"/>
        </w:rPr>
        <w:t>;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Style w:val="FontStyle299"/>
        </w:rPr>
      </w:pPr>
      <w:r w:rsidRPr="00D57C06">
        <w:rPr>
          <w:rStyle w:val="FontStyle299"/>
        </w:rPr>
        <w:t>-расширение видов услуг;</w:t>
      </w:r>
    </w:p>
    <w:p w:rsidR="008748E4" w:rsidRPr="00D57C06" w:rsidRDefault="008748E4" w:rsidP="008748E4">
      <w:pPr>
        <w:keepNext/>
        <w:spacing w:before="60" w:afterLines="60" w:after="144"/>
        <w:ind w:firstLine="720"/>
        <w:jc w:val="both"/>
        <w:outlineLvl w:val="2"/>
      </w:pPr>
      <w:r w:rsidRPr="00D57C06">
        <w:rPr>
          <w:rStyle w:val="FontStyle299"/>
        </w:rPr>
        <w:t xml:space="preserve">-активизация творческой деятельности учреждений (в данном направлении намечен ряд мероприятий в рамках реализации ВЦП </w:t>
      </w:r>
      <w:r w:rsidRPr="00D57C06">
        <w:t>«Развитие культуры МО Турочакский район на 2013-2018гг.»</w:t>
      </w:r>
      <w:r>
        <w:t>)</w:t>
      </w:r>
      <w:r w:rsidRPr="00D57C06">
        <w:t>;</w:t>
      </w:r>
    </w:p>
    <w:p w:rsidR="008748E4" w:rsidRPr="00D57C06" w:rsidRDefault="008748E4" w:rsidP="008748E4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Style w:val="FontStyle299"/>
        </w:rPr>
        <w:t>Следует отметить, что меро</w:t>
      </w:r>
      <w:r>
        <w:rPr>
          <w:rStyle w:val="FontStyle299"/>
        </w:rPr>
        <w:t>приятия, запланированные на 2015г. (по проблемам 2014</w:t>
      </w:r>
      <w:r w:rsidRPr="00D57C06">
        <w:rPr>
          <w:rStyle w:val="FontStyle299"/>
        </w:rPr>
        <w:t>г. по укреплению материально-технической базы учреждений</w:t>
      </w:r>
      <w:r>
        <w:rPr>
          <w:rStyle w:val="FontStyle299"/>
        </w:rPr>
        <w:t>)</w:t>
      </w:r>
      <w:r w:rsidRPr="00D57C06">
        <w:rPr>
          <w:rStyle w:val="FontStyle299"/>
        </w:rPr>
        <w:t>, выполнен</w:t>
      </w:r>
      <w:r>
        <w:rPr>
          <w:rStyle w:val="FontStyle299"/>
        </w:rPr>
        <w:t>ы</w:t>
      </w:r>
      <w:r w:rsidRPr="00D57C06">
        <w:rPr>
          <w:rStyle w:val="FontStyle299"/>
        </w:rPr>
        <w:t xml:space="preserve"> частично, а именно:</w:t>
      </w:r>
    </w:p>
    <w:p w:rsidR="008748E4" w:rsidRPr="00D57C06" w:rsidRDefault="008748E4" w:rsidP="00012028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комплектования книжного фонда</w:t>
      </w:r>
      <w:r w:rsidRPr="00D57C06">
        <w:rPr>
          <w:rFonts w:ascii="Times New Roman" w:hAnsi="Times New Roman" w:cs="Times New Roman"/>
        </w:rPr>
        <w:t xml:space="preserve"> на сумму – </w:t>
      </w:r>
      <w:r>
        <w:rPr>
          <w:rFonts w:ascii="Times New Roman" w:hAnsi="Times New Roman" w:cs="Times New Roman"/>
        </w:rPr>
        <w:t>22,0</w:t>
      </w:r>
      <w:r w:rsidRPr="00D57C06">
        <w:rPr>
          <w:rFonts w:ascii="Times New Roman" w:hAnsi="Times New Roman" w:cs="Times New Roman"/>
        </w:rPr>
        <w:t xml:space="preserve"> тыс. руб.;</w:t>
      </w:r>
    </w:p>
    <w:p w:rsidR="008748E4" w:rsidRPr="00D57C06" w:rsidRDefault="008748E4" w:rsidP="00012028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Fonts w:ascii="Times New Roman" w:hAnsi="Times New Roman" w:cs="Times New Roman"/>
        </w:rPr>
        <w:t>-приобретены компьютеры и оргтехника -</w:t>
      </w:r>
      <w:proofErr w:type="gramStart"/>
      <w:r>
        <w:rPr>
          <w:rFonts w:ascii="Times New Roman" w:hAnsi="Times New Roman" w:cs="Times New Roman"/>
        </w:rPr>
        <w:t>159,0</w:t>
      </w:r>
      <w:r w:rsidRPr="00D57C06">
        <w:rPr>
          <w:rFonts w:ascii="Times New Roman" w:hAnsi="Times New Roman" w:cs="Times New Roman"/>
        </w:rPr>
        <w:t>тыс.руб.</w:t>
      </w:r>
      <w:proofErr w:type="gramEnd"/>
      <w:r w:rsidRPr="00D57C06">
        <w:rPr>
          <w:rFonts w:ascii="Times New Roman" w:hAnsi="Times New Roman" w:cs="Times New Roman"/>
        </w:rPr>
        <w:t>;</w:t>
      </w:r>
    </w:p>
    <w:p w:rsidR="008748E4" w:rsidRPr="00D57C06" w:rsidRDefault="008748E4" w:rsidP="00012028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D57C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обновления материально технической базы</w:t>
      </w:r>
      <w:r w:rsidRPr="00D57C06">
        <w:rPr>
          <w:rFonts w:ascii="Times New Roman" w:hAnsi="Times New Roman" w:cs="Times New Roman"/>
        </w:rPr>
        <w:t xml:space="preserve"> на </w:t>
      </w:r>
      <w:proofErr w:type="gramStart"/>
      <w:r>
        <w:rPr>
          <w:rFonts w:ascii="Times New Roman" w:hAnsi="Times New Roman" w:cs="Times New Roman"/>
        </w:rPr>
        <w:t>907,0</w:t>
      </w:r>
      <w:r w:rsidRPr="00D57C06">
        <w:rPr>
          <w:rFonts w:ascii="Times New Roman" w:hAnsi="Times New Roman" w:cs="Times New Roman"/>
        </w:rPr>
        <w:t>тыс.руб.</w:t>
      </w:r>
      <w:proofErr w:type="gramEnd"/>
      <w:r w:rsidRPr="00D57C06">
        <w:rPr>
          <w:rFonts w:ascii="Times New Roman" w:hAnsi="Times New Roman" w:cs="Times New Roman"/>
        </w:rPr>
        <w:t xml:space="preserve"> </w:t>
      </w:r>
    </w:p>
    <w:p w:rsidR="008748E4" w:rsidRDefault="008748E4" w:rsidP="00012028">
      <w:pPr>
        <w:tabs>
          <w:tab w:val="left" w:pos="2070"/>
          <w:tab w:val="center" w:pos="5037"/>
        </w:tabs>
        <w:spacing w:before="60" w:afterLines="60" w:after="144"/>
        <w:ind w:firstLine="720"/>
        <w:jc w:val="both"/>
      </w:pPr>
      <w:r w:rsidRPr="00D57C06">
        <w:t>-приобретена сценическая обувь(сапоги</w:t>
      </w:r>
      <w:r>
        <w:t xml:space="preserve">) </w:t>
      </w:r>
      <w:r w:rsidRPr="00D57C06">
        <w:t>на 50</w:t>
      </w:r>
      <w:r>
        <w:t>,0</w:t>
      </w:r>
      <w:r w:rsidR="00DD6C46">
        <w:t xml:space="preserve"> </w:t>
      </w:r>
      <w:proofErr w:type="spellStart"/>
      <w:r w:rsidRPr="00D57C06">
        <w:t>тыс.руб</w:t>
      </w:r>
      <w:proofErr w:type="spellEnd"/>
      <w:r w:rsidRPr="00D57C06">
        <w:t>.</w:t>
      </w:r>
    </w:p>
    <w:p w:rsidR="008748E4" w:rsidRPr="00D57C06" w:rsidRDefault="008748E4" w:rsidP="00012028">
      <w:pPr>
        <w:tabs>
          <w:tab w:val="left" w:pos="2070"/>
          <w:tab w:val="center" w:pos="5037"/>
        </w:tabs>
        <w:spacing w:before="60" w:afterLines="60" w:after="144"/>
        <w:ind w:firstLine="720"/>
        <w:jc w:val="both"/>
      </w:pPr>
      <w:r>
        <w:t xml:space="preserve">- приобретен сборно- разборный сценический комплекс на 1000,0 тыс. руб. </w:t>
      </w:r>
    </w:p>
    <w:p w:rsidR="00012028" w:rsidRPr="004E75E2" w:rsidRDefault="00012028" w:rsidP="00012028">
      <w:pPr>
        <w:spacing w:before="60" w:afterLines="60" w:after="144"/>
        <w:ind w:firstLine="709"/>
        <w:jc w:val="center"/>
        <w:rPr>
          <w:b/>
          <w:bCs/>
          <w:color w:val="000000"/>
        </w:rPr>
      </w:pPr>
    </w:p>
    <w:p w:rsidR="00F92565" w:rsidRPr="00AA467A" w:rsidRDefault="00012028" w:rsidP="00012028">
      <w:pPr>
        <w:spacing w:before="60" w:afterLines="60" w:after="144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F92565" w:rsidRPr="00AA467A">
        <w:rPr>
          <w:b/>
          <w:bCs/>
          <w:color w:val="000000"/>
        </w:rPr>
        <w:t>. Физическая культура и спорт</w:t>
      </w:r>
    </w:p>
    <w:p w:rsidR="00F92565" w:rsidRPr="00AA467A" w:rsidRDefault="00F92565" w:rsidP="001F77AF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  <w:i/>
          <w:iCs/>
        </w:rPr>
      </w:pPr>
      <w:r w:rsidRPr="00AA467A">
        <w:rPr>
          <w:rFonts w:ascii="Times New Roman" w:hAnsi="Times New Roman" w:cs="Times New Roman"/>
          <w:b/>
          <w:bCs/>
        </w:rPr>
        <w:t xml:space="preserve">(п.23) </w:t>
      </w:r>
      <w:r w:rsidRPr="00AA467A">
        <w:rPr>
          <w:rFonts w:ascii="Times New Roman" w:hAnsi="Times New Roman" w:cs="Times New Roman"/>
          <w:i/>
          <w:iCs/>
        </w:rPr>
        <w:t>Доля населения систематически занимающегося физической культурой и спортом.</w:t>
      </w:r>
    </w:p>
    <w:p w:rsidR="00F92565" w:rsidRPr="00AA467A" w:rsidRDefault="00F92565" w:rsidP="001F77AF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AA467A">
        <w:rPr>
          <w:rFonts w:ascii="Times New Roman" w:hAnsi="Times New Roman" w:cs="Times New Roman"/>
        </w:rPr>
        <w:t>Численность лиц, систематически занимающихся физической культурой и спортом</w:t>
      </w:r>
      <w:r w:rsidR="006A7FC0" w:rsidRPr="00AA467A">
        <w:rPr>
          <w:rFonts w:ascii="Times New Roman" w:hAnsi="Times New Roman" w:cs="Times New Roman"/>
        </w:rPr>
        <w:t>,</w:t>
      </w:r>
      <w:r w:rsidRPr="00AA467A">
        <w:rPr>
          <w:rFonts w:ascii="Times New Roman" w:hAnsi="Times New Roman" w:cs="Times New Roman"/>
        </w:rPr>
        <w:t xml:space="preserve"> в 201</w:t>
      </w:r>
      <w:r w:rsidR="000239E8" w:rsidRPr="00AA467A">
        <w:rPr>
          <w:rFonts w:ascii="Times New Roman" w:hAnsi="Times New Roman" w:cs="Times New Roman"/>
        </w:rPr>
        <w:t>5</w:t>
      </w:r>
      <w:r w:rsidRPr="00AA467A">
        <w:rPr>
          <w:rFonts w:ascii="Times New Roman" w:hAnsi="Times New Roman" w:cs="Times New Roman"/>
        </w:rPr>
        <w:t xml:space="preserve"> году увеличилась до </w:t>
      </w:r>
      <w:r w:rsidR="00B35937" w:rsidRPr="00AA467A">
        <w:rPr>
          <w:rFonts w:ascii="Times New Roman" w:hAnsi="Times New Roman" w:cs="Times New Roman"/>
        </w:rPr>
        <w:t>3272</w:t>
      </w:r>
      <w:r w:rsidRPr="00AA467A">
        <w:rPr>
          <w:rFonts w:ascii="Times New Roman" w:hAnsi="Times New Roman" w:cs="Times New Roman"/>
        </w:rPr>
        <w:t xml:space="preserve"> человек</w:t>
      </w:r>
      <w:r w:rsidR="00012028">
        <w:rPr>
          <w:rFonts w:ascii="Times New Roman" w:hAnsi="Times New Roman" w:cs="Times New Roman"/>
        </w:rPr>
        <w:t>а</w:t>
      </w:r>
      <w:r w:rsidRPr="00AA467A">
        <w:rPr>
          <w:rFonts w:ascii="Times New Roman" w:hAnsi="Times New Roman" w:cs="Times New Roman"/>
        </w:rPr>
        <w:t xml:space="preserve"> (в 201</w:t>
      </w:r>
      <w:r w:rsidR="000239E8" w:rsidRPr="00AA467A">
        <w:rPr>
          <w:rFonts w:ascii="Times New Roman" w:hAnsi="Times New Roman" w:cs="Times New Roman"/>
        </w:rPr>
        <w:t>4</w:t>
      </w:r>
      <w:r w:rsidRPr="00AA467A">
        <w:rPr>
          <w:rFonts w:ascii="Times New Roman" w:hAnsi="Times New Roman" w:cs="Times New Roman"/>
        </w:rPr>
        <w:t xml:space="preserve"> году</w:t>
      </w:r>
      <w:r w:rsidR="00B74B6E" w:rsidRPr="00AA467A">
        <w:rPr>
          <w:rFonts w:ascii="Times New Roman" w:hAnsi="Times New Roman" w:cs="Times New Roman"/>
        </w:rPr>
        <w:t xml:space="preserve"> </w:t>
      </w:r>
      <w:r w:rsidRPr="00AA467A">
        <w:rPr>
          <w:rFonts w:ascii="Times New Roman" w:hAnsi="Times New Roman" w:cs="Times New Roman"/>
        </w:rPr>
        <w:t>-</w:t>
      </w:r>
      <w:r w:rsidR="00B74B6E" w:rsidRPr="00AA467A">
        <w:rPr>
          <w:rFonts w:ascii="Times New Roman" w:hAnsi="Times New Roman" w:cs="Times New Roman"/>
        </w:rPr>
        <w:t xml:space="preserve"> </w:t>
      </w:r>
      <w:r w:rsidR="000239E8" w:rsidRPr="00AA467A">
        <w:rPr>
          <w:rFonts w:ascii="Times New Roman" w:hAnsi="Times New Roman" w:cs="Times New Roman"/>
        </w:rPr>
        <w:t>2062</w:t>
      </w:r>
      <w:r w:rsidRPr="00AA467A">
        <w:rPr>
          <w:rFonts w:ascii="Times New Roman" w:hAnsi="Times New Roman" w:cs="Times New Roman"/>
        </w:rPr>
        <w:t xml:space="preserve"> человек</w:t>
      </w:r>
      <w:r w:rsidR="006A7FC0" w:rsidRPr="00AA467A">
        <w:rPr>
          <w:rFonts w:ascii="Times New Roman" w:hAnsi="Times New Roman" w:cs="Times New Roman"/>
        </w:rPr>
        <w:t>а</w:t>
      </w:r>
      <w:r w:rsidRPr="00AA467A">
        <w:rPr>
          <w:rFonts w:ascii="Times New Roman" w:hAnsi="Times New Roman" w:cs="Times New Roman"/>
        </w:rPr>
        <w:t>). Темп роста составил 1</w:t>
      </w:r>
      <w:r w:rsidR="00B35937" w:rsidRPr="00AA467A">
        <w:rPr>
          <w:rFonts w:ascii="Times New Roman" w:hAnsi="Times New Roman" w:cs="Times New Roman"/>
        </w:rPr>
        <w:t>58,7</w:t>
      </w:r>
      <w:r w:rsidRPr="00AA467A">
        <w:rPr>
          <w:rFonts w:ascii="Times New Roman" w:hAnsi="Times New Roman" w:cs="Times New Roman"/>
        </w:rPr>
        <w:t xml:space="preserve"> %, в связи с </w:t>
      </w:r>
      <w:r w:rsidR="0015189B" w:rsidRPr="00AA467A">
        <w:rPr>
          <w:rFonts w:ascii="Times New Roman" w:hAnsi="Times New Roman" w:cs="Times New Roman"/>
        </w:rPr>
        <w:t>открытием лыжного стадиона с прокатом оборудования в с</w:t>
      </w:r>
      <w:r w:rsidR="006A7FC0" w:rsidRPr="00AA467A">
        <w:rPr>
          <w:rFonts w:ascii="Times New Roman" w:hAnsi="Times New Roman" w:cs="Times New Roman"/>
        </w:rPr>
        <w:t>. Турочак и ледового катка в с.</w:t>
      </w:r>
      <w:r w:rsidR="00012028">
        <w:rPr>
          <w:rFonts w:ascii="Times New Roman" w:hAnsi="Times New Roman" w:cs="Times New Roman"/>
        </w:rPr>
        <w:t xml:space="preserve"> </w:t>
      </w:r>
      <w:r w:rsidR="0015189B" w:rsidRPr="00AA467A">
        <w:rPr>
          <w:rFonts w:ascii="Times New Roman" w:hAnsi="Times New Roman" w:cs="Times New Roman"/>
        </w:rPr>
        <w:t xml:space="preserve">Иогач, </w:t>
      </w:r>
      <w:r w:rsidRPr="00AA467A">
        <w:rPr>
          <w:rFonts w:ascii="Times New Roman" w:hAnsi="Times New Roman" w:cs="Times New Roman"/>
        </w:rPr>
        <w:t>а также организацией межмуниципальных спортивных мероприятий.</w:t>
      </w:r>
    </w:p>
    <w:p w:rsidR="00F92565" w:rsidRPr="005D1D2D" w:rsidRDefault="00F92565" w:rsidP="001F77AF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AA467A">
        <w:rPr>
          <w:rFonts w:ascii="Times New Roman" w:hAnsi="Times New Roman" w:cs="Times New Roman"/>
        </w:rPr>
        <w:t>Доля населения</w:t>
      </w:r>
      <w:r w:rsidR="006A7FC0" w:rsidRPr="00AA467A">
        <w:rPr>
          <w:rFonts w:ascii="Times New Roman" w:hAnsi="Times New Roman" w:cs="Times New Roman"/>
        </w:rPr>
        <w:t>,</w:t>
      </w:r>
      <w:r w:rsidRPr="00AA467A">
        <w:rPr>
          <w:rFonts w:ascii="Times New Roman" w:hAnsi="Times New Roman" w:cs="Times New Roman"/>
        </w:rPr>
        <w:t xml:space="preserve"> систематически занимающегося физической культурой и спортом</w:t>
      </w:r>
      <w:r w:rsidR="006A7FC0" w:rsidRPr="00AA467A">
        <w:rPr>
          <w:rFonts w:ascii="Times New Roman" w:hAnsi="Times New Roman" w:cs="Times New Roman"/>
        </w:rPr>
        <w:t>,</w:t>
      </w:r>
      <w:r w:rsidRPr="00AA467A">
        <w:rPr>
          <w:rFonts w:ascii="Times New Roman" w:hAnsi="Times New Roman" w:cs="Times New Roman"/>
        </w:rPr>
        <w:t xml:space="preserve"> в </w:t>
      </w:r>
      <w:r w:rsidRPr="005D1D2D">
        <w:rPr>
          <w:rFonts w:ascii="Times New Roman" w:hAnsi="Times New Roman" w:cs="Times New Roman"/>
        </w:rPr>
        <w:t>201</w:t>
      </w:r>
      <w:r w:rsidR="0015189B" w:rsidRPr="005D1D2D">
        <w:rPr>
          <w:rFonts w:ascii="Times New Roman" w:hAnsi="Times New Roman" w:cs="Times New Roman"/>
        </w:rPr>
        <w:t>5</w:t>
      </w:r>
      <w:r w:rsidRPr="005D1D2D">
        <w:rPr>
          <w:rFonts w:ascii="Times New Roman" w:hAnsi="Times New Roman" w:cs="Times New Roman"/>
        </w:rPr>
        <w:t xml:space="preserve"> </w:t>
      </w:r>
      <w:r w:rsidR="0015189B" w:rsidRPr="005D1D2D">
        <w:rPr>
          <w:rFonts w:ascii="Times New Roman" w:hAnsi="Times New Roman" w:cs="Times New Roman"/>
        </w:rPr>
        <w:t xml:space="preserve">году </w:t>
      </w:r>
      <w:r w:rsidRPr="005D1D2D">
        <w:rPr>
          <w:rFonts w:ascii="Times New Roman" w:hAnsi="Times New Roman" w:cs="Times New Roman"/>
        </w:rPr>
        <w:t xml:space="preserve">составила </w:t>
      </w:r>
      <w:r w:rsidR="00B35937" w:rsidRPr="005D1D2D">
        <w:rPr>
          <w:rFonts w:ascii="Times New Roman" w:hAnsi="Times New Roman" w:cs="Times New Roman"/>
        </w:rPr>
        <w:t>26,524</w:t>
      </w:r>
      <w:r w:rsidR="006A7FC0" w:rsidRPr="005D1D2D">
        <w:rPr>
          <w:rFonts w:ascii="Times New Roman" w:hAnsi="Times New Roman" w:cs="Times New Roman"/>
        </w:rPr>
        <w:t>%. К</w:t>
      </w:r>
      <w:r w:rsidR="0015189B" w:rsidRPr="005D1D2D">
        <w:rPr>
          <w:rFonts w:ascii="Times New Roman" w:hAnsi="Times New Roman" w:cs="Times New Roman"/>
        </w:rPr>
        <w:t xml:space="preserve"> 2018 году</w:t>
      </w:r>
      <w:r w:rsidR="006A7FC0" w:rsidRPr="005D1D2D">
        <w:rPr>
          <w:rFonts w:ascii="Times New Roman" w:hAnsi="Times New Roman" w:cs="Times New Roman"/>
        </w:rPr>
        <w:t xml:space="preserve"> планируется достичь </w:t>
      </w:r>
      <w:r w:rsidR="00B35937" w:rsidRPr="005D1D2D">
        <w:rPr>
          <w:rFonts w:ascii="Times New Roman" w:hAnsi="Times New Roman" w:cs="Times New Roman"/>
        </w:rPr>
        <w:t>27,711</w:t>
      </w:r>
      <w:r w:rsidR="0015189B" w:rsidRPr="005D1D2D">
        <w:rPr>
          <w:rFonts w:ascii="Times New Roman" w:hAnsi="Times New Roman" w:cs="Times New Roman"/>
        </w:rPr>
        <w:t>%</w:t>
      </w:r>
      <w:r w:rsidRPr="005D1D2D">
        <w:rPr>
          <w:rFonts w:ascii="Times New Roman" w:hAnsi="Times New Roman" w:cs="Times New Roman"/>
        </w:rPr>
        <w:t>.</w:t>
      </w:r>
    </w:p>
    <w:p w:rsidR="002259E5" w:rsidRPr="00B760E4" w:rsidRDefault="005470EF" w:rsidP="001F77AF">
      <w:pPr>
        <w:pStyle w:val="Style176"/>
        <w:widowControl/>
        <w:spacing w:before="60" w:afterLines="60" w:after="144" w:line="240" w:lineRule="auto"/>
        <w:ind w:firstLine="720"/>
        <w:rPr>
          <w:rFonts w:ascii="Times New Roman" w:hAnsi="Times New Roman" w:cs="Times New Roman"/>
        </w:rPr>
      </w:pPr>
      <w:r w:rsidRPr="00B760E4">
        <w:rPr>
          <w:rFonts w:ascii="Times New Roman" w:hAnsi="Times New Roman" w:cs="Times New Roman"/>
          <w:b/>
        </w:rPr>
        <w:t>(</w:t>
      </w:r>
      <w:r w:rsidRPr="00B760E4">
        <w:rPr>
          <w:rFonts w:ascii="Times New Roman" w:hAnsi="Times New Roman" w:cs="Times New Roman"/>
          <w:b/>
          <w:bCs/>
        </w:rPr>
        <w:t>п.23.1</w:t>
      </w:r>
      <w:r w:rsidRPr="00B760E4">
        <w:rPr>
          <w:rFonts w:ascii="Times New Roman" w:hAnsi="Times New Roman" w:cs="Times New Roman"/>
          <w:b/>
        </w:rPr>
        <w:t>)</w:t>
      </w:r>
      <w:r w:rsidRPr="00B760E4">
        <w:rPr>
          <w:rFonts w:ascii="Times New Roman" w:hAnsi="Times New Roman" w:cs="Times New Roman"/>
        </w:rPr>
        <w:t xml:space="preserve"> </w:t>
      </w:r>
      <w:r w:rsidR="002259E5" w:rsidRPr="00B760E4">
        <w:rPr>
          <w:rFonts w:ascii="Times New Roman" w:hAnsi="Times New Roman" w:cs="Times New Roman"/>
        </w:rPr>
        <w:t>Доля обучающихся, систематически занимающихся физической культурой и спортом в общей численности обучающихся</w:t>
      </w:r>
      <w:r w:rsidR="006A7FC0" w:rsidRPr="00B760E4">
        <w:rPr>
          <w:rFonts w:ascii="Times New Roman" w:hAnsi="Times New Roman" w:cs="Times New Roman"/>
        </w:rPr>
        <w:t>,</w:t>
      </w:r>
      <w:r w:rsidR="002259E5" w:rsidRPr="00B760E4">
        <w:rPr>
          <w:rFonts w:ascii="Times New Roman" w:hAnsi="Times New Roman" w:cs="Times New Roman"/>
        </w:rPr>
        <w:t xml:space="preserve"> в 2015 году составила </w:t>
      </w:r>
      <w:r w:rsidR="00012028" w:rsidRPr="00B760E4">
        <w:rPr>
          <w:rFonts w:ascii="Times New Roman" w:hAnsi="Times New Roman" w:cs="Times New Roman"/>
        </w:rPr>
        <w:t>33,91</w:t>
      </w:r>
      <w:r w:rsidR="002259E5" w:rsidRPr="00B760E4">
        <w:rPr>
          <w:rFonts w:ascii="Times New Roman" w:hAnsi="Times New Roman" w:cs="Times New Roman"/>
        </w:rPr>
        <w:t xml:space="preserve">% (общее количество </w:t>
      </w:r>
      <w:r w:rsidR="006A7FC0" w:rsidRPr="00B760E4">
        <w:rPr>
          <w:rFonts w:ascii="Times New Roman" w:hAnsi="Times New Roman" w:cs="Times New Roman"/>
        </w:rPr>
        <w:t>детей</w:t>
      </w:r>
      <w:r w:rsidR="004E75E2" w:rsidRPr="00B760E4">
        <w:rPr>
          <w:rFonts w:ascii="Times New Roman" w:hAnsi="Times New Roman" w:cs="Times New Roman"/>
        </w:rPr>
        <w:t>,</w:t>
      </w:r>
      <w:r w:rsidR="006A7FC0" w:rsidRPr="00B760E4">
        <w:rPr>
          <w:rFonts w:ascii="Times New Roman" w:hAnsi="Times New Roman" w:cs="Times New Roman"/>
        </w:rPr>
        <w:t xml:space="preserve"> </w:t>
      </w:r>
      <w:r w:rsidR="002259E5" w:rsidRPr="00B760E4">
        <w:rPr>
          <w:rFonts w:ascii="Times New Roman" w:hAnsi="Times New Roman" w:cs="Times New Roman"/>
        </w:rPr>
        <w:t xml:space="preserve">систематически занимающихся – </w:t>
      </w:r>
      <w:r w:rsidR="00DD6C46" w:rsidRPr="00B760E4">
        <w:rPr>
          <w:rFonts w:ascii="Times New Roman" w:hAnsi="Times New Roman" w:cs="Times New Roman"/>
        </w:rPr>
        <w:t>731</w:t>
      </w:r>
      <w:r w:rsidR="002259E5" w:rsidRPr="00B760E4">
        <w:rPr>
          <w:rFonts w:ascii="Times New Roman" w:hAnsi="Times New Roman" w:cs="Times New Roman"/>
        </w:rPr>
        <w:t xml:space="preserve"> человек, общее количество детей, обучающихся в Турочакском районе 2</w:t>
      </w:r>
      <w:r w:rsidR="00DD6C46" w:rsidRPr="00B760E4">
        <w:rPr>
          <w:rFonts w:ascii="Times New Roman" w:hAnsi="Times New Roman" w:cs="Times New Roman"/>
        </w:rPr>
        <w:t>156</w:t>
      </w:r>
      <w:r w:rsidR="002259E5" w:rsidRPr="00B760E4">
        <w:rPr>
          <w:rFonts w:ascii="Times New Roman" w:hAnsi="Times New Roman" w:cs="Times New Roman"/>
        </w:rPr>
        <w:t xml:space="preserve"> человек). К 2018 году доля обучающихся увеличится до 3</w:t>
      </w:r>
      <w:r w:rsidR="004E75E2" w:rsidRPr="00B760E4">
        <w:rPr>
          <w:rFonts w:ascii="Times New Roman" w:hAnsi="Times New Roman" w:cs="Times New Roman"/>
        </w:rPr>
        <w:t>4</w:t>
      </w:r>
      <w:r w:rsidR="002259E5" w:rsidRPr="00B760E4">
        <w:rPr>
          <w:rFonts w:ascii="Times New Roman" w:hAnsi="Times New Roman" w:cs="Times New Roman"/>
        </w:rPr>
        <w:t>% за счёт организации кружковой и спортивной работы, пропаганды здорового образа жизни.</w:t>
      </w:r>
    </w:p>
    <w:p w:rsidR="00F92565" w:rsidRPr="00AA467A" w:rsidRDefault="00C2709A" w:rsidP="00C2709A">
      <w:pPr>
        <w:pStyle w:val="ConsPlusNormal"/>
        <w:widowControl/>
        <w:spacing w:before="60" w:afterLines="60" w:after="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92565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Жилищное строительство и обеспечение граждан жильем</w:t>
      </w:r>
    </w:p>
    <w:p w:rsidR="00790C0C" w:rsidRPr="00AA467A" w:rsidRDefault="00790C0C" w:rsidP="001F77AF">
      <w:pPr>
        <w:spacing w:before="60" w:afterLines="60" w:after="144"/>
        <w:ind w:firstLine="720"/>
        <w:jc w:val="both"/>
      </w:pPr>
      <w:r w:rsidRPr="00AA467A">
        <w:rPr>
          <w:b/>
          <w:bCs/>
        </w:rPr>
        <w:t>(</w:t>
      </w:r>
      <w:r w:rsidR="00B17EDC" w:rsidRPr="00AA467A">
        <w:rPr>
          <w:b/>
          <w:bCs/>
        </w:rPr>
        <w:t>п.</w:t>
      </w:r>
      <w:r w:rsidRPr="00AA467A">
        <w:rPr>
          <w:b/>
          <w:bCs/>
        </w:rPr>
        <w:t>24)</w:t>
      </w:r>
      <w:r w:rsidRPr="00AA467A">
        <w:t xml:space="preserve"> Площадь всего жилищного фонда в 2015 году по Турочакскому району составила 227 852 </w:t>
      </w:r>
      <w:proofErr w:type="spellStart"/>
      <w:r w:rsidRPr="00AA467A">
        <w:t>кв.м</w:t>
      </w:r>
      <w:proofErr w:type="spellEnd"/>
      <w:r w:rsidRPr="00AA467A">
        <w:t>., численность постоянного населения составила 12305 человек, уменьшилось на 61 человек</w:t>
      </w:r>
      <w:r w:rsidR="00B17EDC" w:rsidRPr="00AA467A">
        <w:t>а</w:t>
      </w:r>
      <w:r w:rsidRPr="00AA467A">
        <w:t xml:space="preserve"> по отношению к 2014 году. Общая площадь жилых помещений, приходящаяся в среднем на одного жителя, составила 18,51 кв. м., темп роста по отношению к 2014 году 101,9%. </w:t>
      </w:r>
    </w:p>
    <w:p w:rsidR="00790C0C" w:rsidRPr="00AA467A" w:rsidRDefault="00790C0C" w:rsidP="001F77AF">
      <w:pPr>
        <w:spacing w:before="60" w:afterLines="60" w:after="144"/>
        <w:ind w:firstLine="720"/>
        <w:jc w:val="both"/>
      </w:pPr>
      <w:r w:rsidRPr="00AA467A">
        <w:t>Общая площадь жилых помещений в жилых домах, построенных населением в 2015 году, составила 3252 кв. м., снижение по отношению к 2014 году</w:t>
      </w:r>
      <w:r w:rsidR="00012028">
        <w:t xml:space="preserve"> на </w:t>
      </w:r>
      <w:r w:rsidRPr="00AA467A">
        <w:t>41%.</w:t>
      </w:r>
    </w:p>
    <w:p w:rsidR="00790C0C" w:rsidRPr="00AA467A" w:rsidRDefault="00790C0C" w:rsidP="001F77AF">
      <w:pPr>
        <w:spacing w:before="60" w:afterLines="60" w:after="144"/>
        <w:ind w:firstLine="720"/>
        <w:jc w:val="both"/>
      </w:pPr>
      <w:r w:rsidRPr="00AA467A">
        <w:rPr>
          <w:b/>
          <w:bCs/>
        </w:rPr>
        <w:t>(</w:t>
      </w:r>
      <w:r w:rsidR="00B17EDC" w:rsidRPr="00AA467A">
        <w:rPr>
          <w:b/>
          <w:bCs/>
        </w:rPr>
        <w:t>п.</w:t>
      </w:r>
      <w:r w:rsidRPr="00AA467A">
        <w:rPr>
          <w:b/>
          <w:bCs/>
        </w:rPr>
        <w:t xml:space="preserve">25) </w:t>
      </w:r>
      <w:r w:rsidRPr="00AA467A">
        <w:t>Площадь земельных участков, предоставленных для строительст</w:t>
      </w:r>
      <w:r w:rsidR="00C2709A">
        <w:t>ва 2015 году, составила 24,74 га в</w:t>
      </w:r>
      <w:r w:rsidRPr="00AA467A">
        <w:t xml:space="preserve"> расчете на 10 тыс. человек населения</w:t>
      </w:r>
      <w:r w:rsidR="00C2709A">
        <w:t xml:space="preserve">. Общая площадь земельных участков, предоставленных для строительства, составила </w:t>
      </w:r>
      <w:r w:rsidRPr="00AA467A">
        <w:t xml:space="preserve">30,52 га, в том числе для жилищного строительства – 14,61 га. 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Всего в 2015 году действует 1050 договоров аренды, в том числе в течение 2015 года было заключено 143 договор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аренды, а именно: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- предназначенные для индивидуального жилищного строительства и ведения личного подсобного хозяйства – 105 земельны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ков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12,38 га;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- объектов рекреационного назначения, промышленных объектов, объектов торговли, индивидуальные гаражи – 15 земельных участков, общей площадью 6,04 га;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- для сельскохозяйственного производства, сенокошения, размещения пасеки, ве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дения КФХ – 14 земельных участков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>, общей площадью 40,43 га;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- прочие - 9 земельных участков, общей площадью 1,69 га.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В соответствии Законом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 было предоставлено 23 земельных участк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общей площадью 2,67 га из них:</w:t>
      </w:r>
    </w:p>
    <w:p w:rsidR="00790C0C" w:rsidRPr="00AA467A" w:rsidRDefault="00790C0C" w:rsidP="00E41ECE">
      <w:pPr>
        <w:pStyle w:val="a7"/>
        <w:spacing w:before="6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>ным семьям с тремя и более детьми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</w:t>
      </w:r>
      <w:r w:rsidR="00B17EDC"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 – 4 земельных участка</w:t>
      </w: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0,51 га;</w:t>
      </w:r>
    </w:p>
    <w:p w:rsidR="00790C0C" w:rsidRPr="00AA467A" w:rsidRDefault="00790C0C" w:rsidP="00E41ECE">
      <w:pPr>
        <w:pStyle w:val="a7"/>
        <w:spacing w:before="6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Молодым семьям, возраст супругов в которой не превышает 35 лет – 4 земельных участка площадью 0,42 га;</w:t>
      </w:r>
    </w:p>
    <w:p w:rsidR="00790C0C" w:rsidRPr="00AA467A" w:rsidRDefault="00790C0C" w:rsidP="00E41ECE">
      <w:pPr>
        <w:pStyle w:val="a7"/>
        <w:spacing w:before="6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Гражданам, являющимся ветеранами боевых действий – 1 земельный участок площадью 0,20 га;</w:t>
      </w:r>
    </w:p>
    <w:p w:rsidR="00790C0C" w:rsidRPr="00AA467A" w:rsidRDefault="00790C0C" w:rsidP="00E41ECE">
      <w:pPr>
        <w:pStyle w:val="a7"/>
        <w:spacing w:before="6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Инвалидам и семьям, имеющим детей-инвалидов - 4 земельных участков площадью 0,54 га; </w:t>
      </w:r>
    </w:p>
    <w:p w:rsidR="00790C0C" w:rsidRPr="00AA467A" w:rsidRDefault="00790C0C" w:rsidP="00E41ECE">
      <w:pPr>
        <w:spacing w:before="60"/>
        <w:ind w:firstLine="720"/>
        <w:contextualSpacing/>
        <w:jc w:val="both"/>
      </w:pPr>
      <w:r w:rsidRPr="00AA467A"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- 10 земельных участка площадью 1,02 га.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>По состоянию на 01 января 2016 года количество граждан, состоящих в очереди и имеющих право на получение земельного участка в собственность в рамках реализации Закона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":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Многодетные семьи с тремя и более детей в возрасте до 18 лет – 77;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Молодые семьи, возраст супругов в которой не превышает 35 лет – 212;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Граждане, являющиеся ветеранами боевых действий – 18;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Инвалиды и семьи, имеющие детей-инвалидов –51;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– 5;</w:t>
      </w:r>
    </w:p>
    <w:p w:rsidR="00790C0C" w:rsidRPr="00AA467A" w:rsidRDefault="00790C0C" w:rsidP="00E41ECE">
      <w:pPr>
        <w:pStyle w:val="a7"/>
        <w:spacing w:before="6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Граждане, состоящие в общей очереди на получение земельного участка, которые не относятся ни к одной из льготных категорий – 547.</w:t>
      </w:r>
    </w:p>
    <w:p w:rsidR="00790C0C" w:rsidRPr="00AA467A" w:rsidRDefault="00790C0C" w:rsidP="001F77AF">
      <w:pPr>
        <w:pStyle w:val="a7"/>
        <w:spacing w:before="60" w:afterLines="60" w:after="144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46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Снижение площади земельных участков, предоставленных для строительства в расчете на 10 тыс. человек населения к 2017, 2018 году до 4,0 га обусловлено ограниченностью земельных ресурсов. Расширение границ населенных пунктов в период до 2018 года не планируется.</w:t>
      </w:r>
    </w:p>
    <w:p w:rsidR="00790C0C" w:rsidRPr="00AA467A" w:rsidRDefault="00790C0C" w:rsidP="00C2709A">
      <w:pPr>
        <w:spacing w:before="60" w:afterLines="60" w:after="144"/>
        <w:ind w:firstLine="720"/>
        <w:jc w:val="both"/>
      </w:pPr>
      <w:r w:rsidRPr="00AA467A">
        <w:rPr>
          <w:b/>
          <w:bCs/>
        </w:rPr>
        <w:t>(</w:t>
      </w:r>
      <w:r w:rsidR="00E41ECE" w:rsidRPr="00AA467A">
        <w:rPr>
          <w:b/>
          <w:bCs/>
        </w:rPr>
        <w:t xml:space="preserve">п. </w:t>
      </w:r>
      <w:r w:rsidRPr="00AA467A">
        <w:rPr>
          <w:b/>
          <w:bCs/>
        </w:rPr>
        <w:t xml:space="preserve">26) </w:t>
      </w:r>
      <w:r w:rsidRPr="00AA467A">
        <w:t xml:space="preserve">В 2015 году площадь земельных участков, предоставленных для строительства жилья,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 составило 727991 </w:t>
      </w:r>
      <w:proofErr w:type="spellStart"/>
      <w:r w:rsidRPr="00AA467A">
        <w:t>кв.м</w:t>
      </w:r>
      <w:proofErr w:type="spellEnd"/>
      <w:r w:rsidRPr="00AA467A">
        <w:t>., темп роста по отношению к 2014 году 111 %.</w:t>
      </w:r>
    </w:p>
    <w:p w:rsidR="00790C0C" w:rsidRPr="00AA467A" w:rsidRDefault="00790C0C" w:rsidP="001F77AF">
      <w:pPr>
        <w:spacing w:before="60" w:afterLines="60" w:after="144"/>
        <w:ind w:firstLine="720"/>
        <w:jc w:val="both"/>
      </w:pPr>
      <w:r w:rsidRPr="00AA467A">
        <w:t>В 2015 году площадь земельных участков, предоставленных для иных объектов капитального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5 лет составило 736934 кв. м., темп роста по отношению к 2014 году составил 173 %.</w:t>
      </w:r>
    </w:p>
    <w:p w:rsidR="00790C0C" w:rsidRPr="00AA467A" w:rsidRDefault="00C2709A" w:rsidP="00C2709A">
      <w:pPr>
        <w:pStyle w:val="ConsPlusNormal"/>
        <w:widowControl/>
        <w:spacing w:before="60" w:afterLines="60" w:after="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="00790C0C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Жилищно-коммунальное хозяйство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20"/>
        <w:jc w:val="both"/>
        <w:rPr>
          <w:kern w:val="1"/>
        </w:rPr>
      </w:pPr>
      <w:r w:rsidRPr="00AA467A">
        <w:rPr>
          <w:b/>
          <w:bCs/>
          <w:kern w:val="1"/>
        </w:rPr>
        <w:t>(</w:t>
      </w:r>
      <w:r w:rsidR="00E41ECE" w:rsidRPr="00AA467A">
        <w:rPr>
          <w:b/>
          <w:bCs/>
          <w:kern w:val="1"/>
        </w:rPr>
        <w:t xml:space="preserve">п. </w:t>
      </w:r>
      <w:r w:rsidRPr="00AA467A">
        <w:rPr>
          <w:b/>
          <w:bCs/>
          <w:kern w:val="1"/>
        </w:rPr>
        <w:t xml:space="preserve">27) </w:t>
      </w:r>
      <w:r w:rsidRPr="00AA467A">
        <w:rPr>
          <w:kern w:val="1"/>
        </w:rPr>
        <w:t>Общее количество многоквартирных домов на территории района 9 ед. в 2015</w:t>
      </w:r>
      <w:r w:rsidR="00E41ECE" w:rsidRPr="00AA467A">
        <w:rPr>
          <w:kern w:val="1"/>
        </w:rPr>
        <w:t xml:space="preserve"> </w:t>
      </w:r>
      <w:r w:rsidRPr="00AA467A">
        <w:rPr>
          <w:kern w:val="1"/>
        </w:rPr>
        <w:t xml:space="preserve">г.  </w:t>
      </w:r>
      <w:r w:rsidR="00E41ECE" w:rsidRPr="00AA467A">
        <w:rPr>
          <w:kern w:val="1"/>
        </w:rPr>
        <w:t xml:space="preserve">(в 2014 году- 917 домов). </w:t>
      </w:r>
      <w:r w:rsidRPr="00AA467A">
        <w:rPr>
          <w:kern w:val="1"/>
        </w:rPr>
        <w:t>Уменьшение произошло в связи с исключением из мониторинга</w:t>
      </w:r>
      <w:r w:rsidR="00E41ECE" w:rsidRPr="00AA467A">
        <w:rPr>
          <w:kern w:val="1"/>
        </w:rPr>
        <w:t xml:space="preserve"> данного показателя </w:t>
      </w:r>
      <w:r w:rsidRPr="00AA467A">
        <w:rPr>
          <w:kern w:val="1"/>
        </w:rPr>
        <w:t>многоквартирных домов блокированной застройки.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20"/>
        <w:jc w:val="both"/>
        <w:rPr>
          <w:kern w:val="1"/>
        </w:rPr>
      </w:pPr>
      <w:r w:rsidRPr="00AA467A">
        <w:rPr>
          <w:kern w:val="1"/>
        </w:rPr>
        <w:t xml:space="preserve"> </w:t>
      </w:r>
      <w:r w:rsidR="00E41ECE" w:rsidRPr="00AA467A">
        <w:rPr>
          <w:kern w:val="1"/>
        </w:rPr>
        <w:t>В 2016- 2017 гг.</w:t>
      </w:r>
      <w:r w:rsidRPr="00AA467A">
        <w:rPr>
          <w:kern w:val="1"/>
        </w:rPr>
        <w:t xml:space="preserve"> планируется уменьшение количество многоквартирных домов в связи с ликвидацией</w:t>
      </w:r>
      <w:r w:rsidR="00E41ECE" w:rsidRPr="00AA467A">
        <w:rPr>
          <w:kern w:val="1"/>
        </w:rPr>
        <w:t xml:space="preserve"> по</w:t>
      </w:r>
      <w:r w:rsidRPr="00AA467A">
        <w:rPr>
          <w:kern w:val="1"/>
        </w:rPr>
        <w:t xml:space="preserve"> 1 многоквартирно</w:t>
      </w:r>
      <w:r w:rsidR="00E41ECE" w:rsidRPr="00AA467A">
        <w:rPr>
          <w:kern w:val="1"/>
        </w:rPr>
        <w:t>му</w:t>
      </w:r>
      <w:r w:rsidRPr="00AA467A">
        <w:rPr>
          <w:kern w:val="1"/>
        </w:rPr>
        <w:t xml:space="preserve"> жило</w:t>
      </w:r>
      <w:r w:rsidR="00E41ECE" w:rsidRPr="00AA467A">
        <w:rPr>
          <w:kern w:val="1"/>
        </w:rPr>
        <w:t>му</w:t>
      </w:r>
      <w:r w:rsidRPr="00AA467A">
        <w:rPr>
          <w:kern w:val="1"/>
        </w:rPr>
        <w:t xml:space="preserve"> дом</w:t>
      </w:r>
      <w:r w:rsidR="00E41ECE" w:rsidRPr="00AA467A">
        <w:rPr>
          <w:kern w:val="1"/>
        </w:rPr>
        <w:t>у</w:t>
      </w:r>
      <w:r w:rsidR="00C2709A" w:rsidRPr="00C2709A">
        <w:rPr>
          <w:kern w:val="1"/>
        </w:rPr>
        <w:t xml:space="preserve"> </w:t>
      </w:r>
      <w:r w:rsidR="00C2709A">
        <w:rPr>
          <w:kern w:val="1"/>
        </w:rPr>
        <w:t>в год</w:t>
      </w:r>
      <w:r w:rsidRPr="00AA467A">
        <w:rPr>
          <w:kern w:val="1"/>
        </w:rPr>
        <w:t xml:space="preserve"> по программе «Периселения граждан из аварийного ветхого жилья на территории Республики Алтай». 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20"/>
        <w:jc w:val="both"/>
        <w:rPr>
          <w:kern w:val="1"/>
        </w:rPr>
      </w:pPr>
      <w:r w:rsidRPr="00AA467A">
        <w:rPr>
          <w:kern w:val="1"/>
        </w:rPr>
        <w:t xml:space="preserve">Способ управления многоквартирными домами 100% осуществляется собственниками жилья, проживающих в данных многоквартирных домах. Ранее действовавший Федеральный закон от 15 июня 1996 г. № 72-ФЗ «О товариществах собственников жилья» предусматривал возможность непосредственного управления многоквартирным домом при незначительных размерах дома и ограниченном количестве собственников помещений. В частности, помещений в доме должно было быть не более четырех, а собственников от двух до четырех. Только тогда разрешалось применять данный способ управления. Ныне действующий ЖК РФ не ограничивает число собственников для данного способа управления. </w:t>
      </w:r>
    </w:p>
    <w:p w:rsidR="00790C0C" w:rsidRPr="00AA467A" w:rsidRDefault="00790C0C" w:rsidP="001F77AF">
      <w:pPr>
        <w:pStyle w:val="ConsPlusNormal"/>
        <w:widowControl/>
        <w:spacing w:before="60" w:afterLines="60"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521EB3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proofErr w:type="gramStart"/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района в 2015 г. осуществляли деятельность 4 предприятия коммунального комплекса: ООО «Солнечная энергия+», ООО «</w:t>
      </w:r>
      <w:proofErr w:type="spellStart"/>
      <w:r w:rsidRPr="00AA467A">
        <w:rPr>
          <w:rFonts w:ascii="Times New Roman" w:hAnsi="Times New Roman" w:cs="Times New Roman"/>
          <w:color w:val="000000"/>
          <w:sz w:val="24"/>
          <w:szCs w:val="24"/>
        </w:rPr>
        <w:t>Теплострой</w:t>
      </w:r>
      <w:proofErr w:type="spellEnd"/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Алтай », МАУ «</w:t>
      </w:r>
      <w:proofErr w:type="spellStart"/>
      <w:r w:rsidRPr="00AA467A">
        <w:rPr>
          <w:rFonts w:ascii="Times New Roman" w:hAnsi="Times New Roman" w:cs="Times New Roman"/>
          <w:color w:val="000000"/>
          <w:sz w:val="24"/>
          <w:szCs w:val="24"/>
        </w:rPr>
        <w:t>Телесеть</w:t>
      </w:r>
      <w:proofErr w:type="spellEnd"/>
      <w:r w:rsidRPr="00AA467A">
        <w:rPr>
          <w:rFonts w:ascii="Times New Roman" w:hAnsi="Times New Roman" w:cs="Times New Roman"/>
          <w:color w:val="000000"/>
          <w:sz w:val="24"/>
          <w:szCs w:val="24"/>
        </w:rPr>
        <w:t>», БУ «Коммунальщик".</w:t>
      </w:r>
      <w:r w:rsidR="00491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0C0C" w:rsidRPr="00AA467A" w:rsidRDefault="00790C0C" w:rsidP="001F77AF">
      <w:pPr>
        <w:pStyle w:val="ConsPlusNormal"/>
        <w:widowControl/>
        <w:spacing w:before="60" w:afterLines="60" w:after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color w:val="000000"/>
          <w:sz w:val="24"/>
          <w:szCs w:val="24"/>
        </w:rPr>
        <w:t>Количество организаций</w:t>
      </w:r>
      <w:r w:rsidR="00E41ECE" w:rsidRPr="00AA46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оказывающи</w:t>
      </w:r>
      <w:r w:rsidR="00E41ECE" w:rsidRPr="00AA467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сфере ЖКХ по договорам концессии в 2015 г. – 2</w:t>
      </w:r>
      <w:r w:rsidR="00521EB3" w:rsidRPr="00AA467A">
        <w:rPr>
          <w:rFonts w:ascii="Times New Roman" w:hAnsi="Times New Roman" w:cs="Times New Roman"/>
          <w:color w:val="000000"/>
          <w:sz w:val="24"/>
          <w:szCs w:val="24"/>
        </w:rPr>
        <w:t>, что больше на 1 предприятие по сравнению с 2014 годом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. ООО «Солнечная энергия+» (электроснабжение) и добавилась ООО «</w:t>
      </w:r>
      <w:proofErr w:type="spellStart"/>
      <w:r w:rsidRPr="00AA467A">
        <w:rPr>
          <w:rFonts w:ascii="Times New Roman" w:hAnsi="Times New Roman" w:cs="Times New Roman"/>
          <w:color w:val="000000"/>
          <w:sz w:val="24"/>
          <w:szCs w:val="24"/>
        </w:rPr>
        <w:t>Теплострой</w:t>
      </w:r>
      <w:proofErr w:type="spellEnd"/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Алтай» (услуги теплоснабжения).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20"/>
        <w:jc w:val="both"/>
        <w:rPr>
          <w:kern w:val="1"/>
        </w:rPr>
      </w:pPr>
      <w:r w:rsidRPr="00AA467A">
        <w:rPr>
          <w:b/>
          <w:bCs/>
          <w:kern w:val="1"/>
        </w:rPr>
        <w:t>(</w:t>
      </w:r>
      <w:r w:rsidR="00521EB3" w:rsidRPr="00AA467A">
        <w:rPr>
          <w:b/>
          <w:bCs/>
          <w:kern w:val="1"/>
        </w:rPr>
        <w:t>п. 2</w:t>
      </w:r>
      <w:r w:rsidRPr="00AA467A">
        <w:rPr>
          <w:b/>
          <w:bCs/>
          <w:kern w:val="1"/>
        </w:rPr>
        <w:t>9</w:t>
      </w:r>
      <w:proofErr w:type="gramStart"/>
      <w:r w:rsidRPr="00AA467A">
        <w:rPr>
          <w:b/>
          <w:bCs/>
          <w:kern w:val="1"/>
        </w:rPr>
        <w:t xml:space="preserve">) </w:t>
      </w:r>
      <w:r w:rsidRPr="00AA467A">
        <w:rPr>
          <w:kern w:val="1"/>
        </w:rPr>
        <w:t xml:space="preserve"> Доля</w:t>
      </w:r>
      <w:proofErr w:type="gramEnd"/>
      <w:r w:rsidRPr="00AA467A">
        <w:rPr>
          <w:kern w:val="1"/>
        </w:rPr>
        <w:t xml:space="preserve"> многоквартирных домов, расположенных на земельных участках, в отношении которых осуществлен государственный кадастровый учет составляет 51,64 %, что выше показателя 2014 года на 0,72</w:t>
      </w:r>
      <w:r w:rsidR="00491E85">
        <w:rPr>
          <w:kern w:val="1"/>
        </w:rPr>
        <w:t xml:space="preserve"> </w:t>
      </w:r>
      <w:proofErr w:type="spellStart"/>
      <w:r w:rsidR="00491E85">
        <w:rPr>
          <w:kern w:val="1"/>
        </w:rPr>
        <w:t>п.п</w:t>
      </w:r>
      <w:proofErr w:type="spellEnd"/>
      <w:r w:rsidRPr="00AA467A">
        <w:rPr>
          <w:kern w:val="1"/>
        </w:rPr>
        <w:t>.</w:t>
      </w:r>
    </w:p>
    <w:p w:rsidR="00790C0C" w:rsidRPr="00AA467A" w:rsidRDefault="00790C0C" w:rsidP="00790C0C">
      <w:pPr>
        <w:widowControl w:val="0"/>
        <w:suppressAutoHyphens/>
        <w:ind w:firstLine="720"/>
        <w:jc w:val="both"/>
        <w:rPr>
          <w:kern w:val="1"/>
        </w:rPr>
      </w:pPr>
      <w:r w:rsidRPr="00AA467A">
        <w:rPr>
          <w:b/>
          <w:bCs/>
          <w:kern w:val="1"/>
        </w:rPr>
        <w:t>(</w:t>
      </w:r>
      <w:r w:rsidR="00521EB3" w:rsidRPr="00AA467A">
        <w:rPr>
          <w:b/>
          <w:bCs/>
          <w:kern w:val="1"/>
        </w:rPr>
        <w:t xml:space="preserve">п. </w:t>
      </w:r>
      <w:r w:rsidRPr="00AA467A">
        <w:rPr>
          <w:b/>
          <w:bCs/>
          <w:kern w:val="1"/>
        </w:rPr>
        <w:t>30</w:t>
      </w:r>
      <w:proofErr w:type="gramStart"/>
      <w:r w:rsidRPr="00AA467A">
        <w:rPr>
          <w:b/>
          <w:bCs/>
          <w:kern w:val="1"/>
        </w:rPr>
        <w:t xml:space="preserve">) </w:t>
      </w:r>
      <w:r w:rsidRPr="00AA467A">
        <w:rPr>
          <w:kern w:val="1"/>
        </w:rPr>
        <w:t xml:space="preserve"> Доля</w:t>
      </w:r>
      <w:proofErr w:type="gramEnd"/>
      <w:r w:rsidRPr="00AA467A">
        <w:rPr>
          <w:kern w:val="1"/>
        </w:rPr>
        <w:t xml:space="preserve"> населения, получившего жилые помещения и улучшавшего жилищные условия в 2015 г., в общей численности населения, состоящего на учете в качестве нуждающегося в жилых помещениях, составила 12,44%, увеличен</w:t>
      </w:r>
      <w:r w:rsidR="00491E85">
        <w:rPr>
          <w:kern w:val="1"/>
        </w:rPr>
        <w:t xml:space="preserve">ие по отношению к 2014 на 10,78 </w:t>
      </w:r>
      <w:proofErr w:type="spellStart"/>
      <w:r w:rsidR="00491E85">
        <w:rPr>
          <w:kern w:val="1"/>
        </w:rPr>
        <w:t>п.п</w:t>
      </w:r>
      <w:proofErr w:type="spellEnd"/>
      <w:r w:rsidR="00491E85">
        <w:rPr>
          <w:kern w:val="1"/>
        </w:rPr>
        <w:t>.</w:t>
      </w:r>
      <w:r w:rsidRPr="00AA467A">
        <w:rPr>
          <w:kern w:val="1"/>
        </w:rPr>
        <w:t xml:space="preserve">. Всего в текущем периоде улучшили свои жилищные условия 56 человек, что выше аналогичного уровня прошлого периода на 37,5% (21 чел.). Увеличение показателя в первую очередь связано с программой переселения из аварийного жилищного фонда в 2015 г. – </w:t>
      </w:r>
      <w:r w:rsidR="00521EB3" w:rsidRPr="00AA467A">
        <w:rPr>
          <w:kern w:val="1"/>
        </w:rPr>
        <w:t xml:space="preserve">переселено </w:t>
      </w:r>
      <w:r w:rsidRPr="00AA467A">
        <w:rPr>
          <w:kern w:val="1"/>
        </w:rPr>
        <w:t>32 чел.</w:t>
      </w:r>
    </w:p>
    <w:p w:rsidR="00790C0C" w:rsidRPr="00AA467A" w:rsidRDefault="00790C0C" w:rsidP="00D57C06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565" w:rsidRPr="00AA467A" w:rsidRDefault="0085579A" w:rsidP="008557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="00F92565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Организация муниципального управления</w:t>
      </w:r>
    </w:p>
    <w:p w:rsidR="009C5272" w:rsidRPr="00AA467A" w:rsidRDefault="00F92565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b/>
          <w:bCs/>
          <w:color w:val="000000"/>
        </w:rPr>
        <w:t>(</w:t>
      </w:r>
      <w:r w:rsidR="00521EB3" w:rsidRPr="00AA467A">
        <w:rPr>
          <w:b/>
          <w:bCs/>
          <w:color w:val="000000"/>
        </w:rPr>
        <w:t xml:space="preserve">п. </w:t>
      </w:r>
      <w:r w:rsidRPr="00AA467A">
        <w:rPr>
          <w:b/>
          <w:bCs/>
          <w:color w:val="000000"/>
        </w:rPr>
        <w:t xml:space="preserve">31) </w:t>
      </w:r>
      <w:r w:rsidR="009C5272" w:rsidRPr="00AA467A">
        <w:rPr>
          <w:color w:val="000000"/>
        </w:rPr>
        <w:t xml:space="preserve">Сумма налоговых и неналоговых доходов консолидированного бюджета МО «Турочакский район» в 2015 году составила 88402,18 тыс. рублей, темп роста к 2014 году – 102,9%. </w:t>
      </w:r>
    </w:p>
    <w:p w:rsidR="009C5272" w:rsidRPr="00AA467A" w:rsidRDefault="009C5272" w:rsidP="001F77AF">
      <w:pPr>
        <w:spacing w:before="60" w:afterLines="60" w:after="144"/>
        <w:ind w:firstLine="709"/>
        <w:jc w:val="both"/>
      </w:pPr>
      <w:r w:rsidRPr="00AA467A">
        <w:rPr>
          <w:color w:val="000000"/>
        </w:rPr>
        <w:t xml:space="preserve">Незначительный рост произошел за счет поступления налога на доходы с физических лиц от </w:t>
      </w:r>
      <w:r w:rsidRPr="00AA467A">
        <w:t>БУЗ РА «</w:t>
      </w:r>
      <w:proofErr w:type="spellStart"/>
      <w:r w:rsidRPr="00AA467A">
        <w:t>Турочакская</w:t>
      </w:r>
      <w:proofErr w:type="spellEnd"/>
      <w:r w:rsidRPr="00AA467A">
        <w:t xml:space="preserve"> районная больница» на 514,0 тыс. рублей, от АУ «Иогач лес» 1533,0 тыс. рублей.</w:t>
      </w:r>
    </w:p>
    <w:p w:rsidR="009C5272" w:rsidRPr="00AA467A" w:rsidRDefault="009C5272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color w:val="000000"/>
        </w:rPr>
        <w:t xml:space="preserve">Доля налоговых и неналоговых доходов бюджета в общем объеме собственных доходов бюджета муниципального образования в 2015 году составила 31,32 %, что ниже уровня 2014 года на 3 </w:t>
      </w:r>
      <w:proofErr w:type="spellStart"/>
      <w:r w:rsidRPr="00AA467A">
        <w:rPr>
          <w:color w:val="000000"/>
        </w:rPr>
        <w:t>п.п</w:t>
      </w:r>
      <w:proofErr w:type="spellEnd"/>
      <w:r w:rsidRPr="00AA467A">
        <w:rPr>
          <w:color w:val="000000"/>
        </w:rPr>
        <w:t>.</w:t>
      </w:r>
      <w:r w:rsidR="00040A8C" w:rsidRPr="00AA467A">
        <w:rPr>
          <w:color w:val="000000"/>
        </w:rPr>
        <w:t xml:space="preserve"> за счет </w:t>
      </w:r>
      <w:r w:rsidR="00782B0B" w:rsidRPr="00AA467A">
        <w:rPr>
          <w:color w:val="000000"/>
        </w:rPr>
        <w:t>увеличения объемов собственных доходов (возмещение ущерба после наводнения)</w:t>
      </w:r>
      <w:r w:rsidR="00040A8C" w:rsidRPr="00AA467A">
        <w:rPr>
          <w:color w:val="000000"/>
        </w:rPr>
        <w:t>.</w:t>
      </w:r>
    </w:p>
    <w:p w:rsidR="00040A8C" w:rsidRPr="00AA467A" w:rsidRDefault="00040A8C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color w:val="000000"/>
        </w:rPr>
        <w:t xml:space="preserve">В прогнозном периоде ожидается рост данного показателя за счет </w:t>
      </w:r>
      <w:r w:rsidR="00782B0B" w:rsidRPr="00AA467A">
        <w:rPr>
          <w:color w:val="000000"/>
        </w:rPr>
        <w:t>большего снижения собственных доходов по сравнению с налоговыми и неналоговыми.</w:t>
      </w:r>
    </w:p>
    <w:p w:rsidR="00F92565" w:rsidRPr="00AA467A" w:rsidRDefault="00F92565" w:rsidP="001F77AF">
      <w:pPr>
        <w:pStyle w:val="ConsPlusNormal"/>
        <w:widowControl/>
        <w:spacing w:before="60" w:afterLines="60" w:after="14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62F0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</w:t>
      </w: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32)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Полная учетная стоимость основных фондов организаций муниципальной формы собственности на конец 201</w:t>
      </w:r>
      <w:r w:rsidR="003052F4" w:rsidRPr="00AA46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года составила 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>446 449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на 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% больше уровня 201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года. 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Увеличения стоимости основных фондов вызвано приобретением основных средств. По итогу 2016 года ожидается увеличение стоимости основных фондов организация муниципальной формы собственности до 626566 </w:t>
      </w:r>
      <w:r w:rsidR="001B50A2" w:rsidRPr="00AA467A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E75CE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>рублей, то есть на 40</w:t>
      </w:r>
      <w:r w:rsidR="00040A8C" w:rsidRPr="00AA467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за счет</w:t>
      </w:r>
      <w:r w:rsidR="0045278E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>ввод</w:t>
      </w:r>
      <w:r w:rsidR="0045278E" w:rsidRPr="00AA46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2B43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после реконструкции здания школы в с. </w:t>
      </w:r>
      <w:r w:rsidR="001B50A2" w:rsidRPr="00AA467A">
        <w:rPr>
          <w:rFonts w:ascii="Times New Roman" w:hAnsi="Times New Roman" w:cs="Times New Roman"/>
          <w:color w:val="000000"/>
          <w:sz w:val="24"/>
          <w:szCs w:val="24"/>
        </w:rPr>
        <w:t>Кебезень на 66396</w:t>
      </w:r>
      <w:r w:rsidR="00E6760E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 w:rsidR="0045278E" w:rsidRPr="00AA46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760E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3E47" w:rsidRPr="00AA467A">
        <w:rPr>
          <w:rFonts w:ascii="Times New Roman" w:hAnsi="Times New Roman" w:cs="Times New Roman"/>
          <w:color w:val="000000"/>
          <w:sz w:val="24"/>
          <w:szCs w:val="24"/>
        </w:rPr>
        <w:t>реконструкци</w:t>
      </w:r>
      <w:r w:rsidR="0045278E" w:rsidRPr="00AA46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3E47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здания школы в с. Турочак на 100000 тыс. руб., остальное – приобретение транспортных средств и оборудования.</w:t>
      </w:r>
    </w:p>
    <w:p w:rsidR="00F92565" w:rsidRPr="00AA467A" w:rsidRDefault="00F92565" w:rsidP="001F77AF">
      <w:pPr>
        <w:pStyle w:val="ConsPlusNormal"/>
        <w:widowControl/>
        <w:spacing w:before="60" w:afterLines="60" w:after="14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="000709B0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формы собственности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, находящихся в стадии банкротства, на территории района нет.</w:t>
      </w:r>
    </w:p>
    <w:p w:rsidR="00790C0C" w:rsidRPr="00AA467A" w:rsidRDefault="00790C0C" w:rsidP="001F77AF">
      <w:pPr>
        <w:pStyle w:val="ConsPlusNormal"/>
        <w:widowControl/>
        <w:spacing w:before="60" w:afterLines="60" w:after="14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62F0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</w:t>
      </w: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proofErr w:type="gramStart"/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Турочакском районе отсутствует объем не завершенного в установленные сроки строительства, осуществляемого за счет средств местного бюджета</w:t>
      </w:r>
    </w:p>
    <w:p w:rsidR="009C5272" w:rsidRPr="00AA467A" w:rsidRDefault="009C5272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b/>
          <w:bCs/>
          <w:color w:val="000000"/>
        </w:rPr>
        <w:t>(</w:t>
      </w:r>
      <w:r w:rsidR="00A162F0" w:rsidRPr="00AA467A">
        <w:rPr>
          <w:b/>
          <w:bCs/>
          <w:color w:val="000000"/>
        </w:rPr>
        <w:t>п.</w:t>
      </w:r>
      <w:r w:rsidRPr="00AA467A">
        <w:rPr>
          <w:b/>
          <w:bCs/>
          <w:color w:val="000000"/>
        </w:rPr>
        <w:t xml:space="preserve">34) </w:t>
      </w:r>
      <w:r w:rsidRPr="00AA467A">
        <w:rPr>
          <w:color w:val="000000"/>
        </w:rPr>
        <w:t>Просроченная задолженность по оплате труда в муниципальных бюджетных учреждениях отсутствует.</w:t>
      </w:r>
    </w:p>
    <w:p w:rsidR="0045278E" w:rsidRPr="00AA467A" w:rsidRDefault="0045278E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color w:val="000000"/>
        </w:rPr>
        <w:t xml:space="preserve">Общий объем расходов муниципального образования на оплату труда в 2015 году составил 234580,308 тыс. руб., что </w:t>
      </w:r>
      <w:r w:rsidR="00782B0B" w:rsidRPr="00AA467A">
        <w:rPr>
          <w:color w:val="000000"/>
        </w:rPr>
        <w:t>чуть выше уровня 2014 года (0,1%).</w:t>
      </w:r>
    </w:p>
    <w:p w:rsidR="009C5272" w:rsidRPr="00AA467A" w:rsidRDefault="009C5272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b/>
          <w:bCs/>
          <w:color w:val="000000"/>
        </w:rPr>
        <w:t>(</w:t>
      </w:r>
      <w:r w:rsidR="00A162F0" w:rsidRPr="00AA467A">
        <w:rPr>
          <w:b/>
          <w:bCs/>
          <w:color w:val="000000"/>
        </w:rPr>
        <w:t>п.</w:t>
      </w:r>
      <w:r w:rsidRPr="00AA467A">
        <w:rPr>
          <w:b/>
          <w:bCs/>
          <w:color w:val="000000"/>
        </w:rPr>
        <w:t xml:space="preserve">35) </w:t>
      </w:r>
      <w:r w:rsidRPr="00AA467A">
        <w:rPr>
          <w:color w:val="000000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2015 г</w:t>
      </w:r>
      <w:r w:rsidR="00491E85">
        <w:rPr>
          <w:color w:val="000000"/>
        </w:rPr>
        <w:t>оду составили 2888,7 рублей, что ниже уровня 2014 на 12,66%</w:t>
      </w:r>
      <w:r w:rsidRPr="00AA467A">
        <w:rPr>
          <w:color w:val="000000"/>
        </w:rPr>
        <w:t>. Снижение произошло за счет сокращения расходов на содержание работников органов местного самоуправления.</w:t>
      </w:r>
    </w:p>
    <w:p w:rsidR="00A162F0" w:rsidRPr="00AA467A" w:rsidRDefault="00A162F0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color w:val="000000"/>
        </w:rPr>
        <w:t>Общий объем расходов консолидированного бюджета муниципального образования на содержание работников органов местного самоуправления в 2015 году в сравнении с 2014 годом уменьшился на 5239</w:t>
      </w:r>
      <w:r w:rsidR="00491E85">
        <w:rPr>
          <w:color w:val="000000"/>
        </w:rPr>
        <w:t xml:space="preserve">,194 тыс. руб. и составил 35635 тыс. </w:t>
      </w:r>
      <w:proofErr w:type="gramStart"/>
      <w:r w:rsidR="00491E85">
        <w:rPr>
          <w:color w:val="000000"/>
        </w:rPr>
        <w:t>руб.</w:t>
      </w:r>
      <w:r w:rsidRPr="00AA467A">
        <w:rPr>
          <w:color w:val="000000"/>
        </w:rPr>
        <w:t>.</w:t>
      </w:r>
      <w:proofErr w:type="gramEnd"/>
    </w:p>
    <w:p w:rsidR="00790C0C" w:rsidRPr="00AA467A" w:rsidRDefault="00790C0C" w:rsidP="001F77AF">
      <w:pPr>
        <w:pStyle w:val="ConsPlusNormal"/>
        <w:widowControl/>
        <w:spacing w:before="60" w:afterLines="60" w:after="14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62F0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</w:t>
      </w: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36)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Схема территориального планирования Турочакского района утверждена решением Совета депутатов от 23 апреля 2010 года за № 21-2, изменения по 01.01.2016 года не вносились.</w:t>
      </w:r>
    </w:p>
    <w:p w:rsidR="00F92565" w:rsidRPr="00AA467A" w:rsidRDefault="00790C0C" w:rsidP="001F77AF">
      <w:pPr>
        <w:spacing w:before="60" w:afterLines="60" w:after="144"/>
        <w:ind w:firstLine="709"/>
        <w:jc w:val="both"/>
        <w:rPr>
          <w:color w:val="000000"/>
        </w:rPr>
      </w:pPr>
      <w:r w:rsidRPr="00AA467A">
        <w:rPr>
          <w:b/>
          <w:bCs/>
          <w:color w:val="000000"/>
        </w:rPr>
        <w:t xml:space="preserve"> </w:t>
      </w:r>
      <w:r w:rsidR="00F92565" w:rsidRPr="00AA467A">
        <w:rPr>
          <w:b/>
          <w:bCs/>
          <w:color w:val="000000"/>
        </w:rPr>
        <w:t>(</w:t>
      </w:r>
      <w:r w:rsidR="00A162F0" w:rsidRPr="00AA467A">
        <w:rPr>
          <w:b/>
          <w:bCs/>
          <w:color w:val="000000"/>
        </w:rPr>
        <w:t>п.</w:t>
      </w:r>
      <w:r w:rsidR="00F92565" w:rsidRPr="00AA467A">
        <w:rPr>
          <w:b/>
          <w:bCs/>
          <w:color w:val="000000"/>
        </w:rPr>
        <w:t xml:space="preserve">37) </w:t>
      </w:r>
      <w:r w:rsidR="00F92565" w:rsidRPr="00AA467A">
        <w:rPr>
          <w:color w:val="000000"/>
        </w:rPr>
        <w:t>Удовлетворенность населения деятельность</w:t>
      </w:r>
      <w:r w:rsidR="00A162F0" w:rsidRPr="00AA467A">
        <w:rPr>
          <w:color w:val="000000"/>
        </w:rPr>
        <w:t>ю</w:t>
      </w:r>
      <w:r w:rsidR="00F92565" w:rsidRPr="00AA467A">
        <w:rPr>
          <w:color w:val="000000"/>
        </w:rPr>
        <w:t xml:space="preserve"> органо</w:t>
      </w:r>
      <w:r w:rsidR="00491E85">
        <w:rPr>
          <w:color w:val="000000"/>
        </w:rPr>
        <w:t>в местного самоуправления в 2015</w:t>
      </w:r>
      <w:r w:rsidR="00A162F0" w:rsidRPr="00AA467A">
        <w:rPr>
          <w:color w:val="000000"/>
        </w:rPr>
        <w:t xml:space="preserve"> </w:t>
      </w:r>
      <w:r w:rsidR="00F92565" w:rsidRPr="00AA467A">
        <w:rPr>
          <w:color w:val="000000"/>
        </w:rPr>
        <w:t>году составила</w:t>
      </w:r>
      <w:r w:rsidR="00103B79" w:rsidRPr="00AA467A">
        <w:rPr>
          <w:color w:val="000000"/>
        </w:rPr>
        <w:t xml:space="preserve"> </w:t>
      </w:r>
      <w:r w:rsidR="001A26A6" w:rsidRPr="00AA467A">
        <w:rPr>
          <w:color w:val="000000"/>
        </w:rPr>
        <w:t>49,74</w:t>
      </w:r>
      <w:r w:rsidR="00A162F0" w:rsidRPr="00AA467A">
        <w:rPr>
          <w:color w:val="000000"/>
        </w:rPr>
        <w:t>%</w:t>
      </w:r>
      <w:r w:rsidR="00103B79" w:rsidRPr="00AA467A">
        <w:rPr>
          <w:color w:val="000000"/>
        </w:rPr>
        <w:t xml:space="preserve"> от числа опрошенных, что ниже показател</w:t>
      </w:r>
      <w:r w:rsidR="00A162F0" w:rsidRPr="00AA467A">
        <w:rPr>
          <w:color w:val="000000"/>
        </w:rPr>
        <w:t xml:space="preserve">я </w:t>
      </w:r>
      <w:r w:rsidR="00103B79" w:rsidRPr="00AA467A">
        <w:rPr>
          <w:color w:val="000000"/>
        </w:rPr>
        <w:t>201</w:t>
      </w:r>
      <w:r w:rsidR="001A26A6" w:rsidRPr="00AA467A">
        <w:rPr>
          <w:color w:val="000000"/>
        </w:rPr>
        <w:t>4</w:t>
      </w:r>
      <w:r w:rsidR="00103B79" w:rsidRPr="00AA467A">
        <w:rPr>
          <w:color w:val="000000"/>
        </w:rPr>
        <w:t xml:space="preserve"> года на </w:t>
      </w:r>
      <w:r w:rsidR="001A26A6" w:rsidRPr="00AA467A">
        <w:rPr>
          <w:color w:val="000000"/>
        </w:rPr>
        <w:t>9,02</w:t>
      </w:r>
      <w:r w:rsidR="00103B79" w:rsidRPr="00AA467A">
        <w:rPr>
          <w:color w:val="000000"/>
        </w:rPr>
        <w:t xml:space="preserve"> </w:t>
      </w:r>
      <w:proofErr w:type="spellStart"/>
      <w:r w:rsidR="00103B79" w:rsidRPr="00AA467A">
        <w:rPr>
          <w:color w:val="000000"/>
        </w:rPr>
        <w:t>п.п</w:t>
      </w:r>
      <w:proofErr w:type="spellEnd"/>
      <w:r w:rsidR="00103B79" w:rsidRPr="00AA467A">
        <w:rPr>
          <w:color w:val="000000"/>
        </w:rPr>
        <w:t>.</w:t>
      </w:r>
      <w:r w:rsidR="003051C0" w:rsidRPr="00AA467A">
        <w:rPr>
          <w:color w:val="000000"/>
        </w:rPr>
        <w:t xml:space="preserve"> </w:t>
      </w:r>
    </w:p>
    <w:p w:rsidR="00F92565" w:rsidRPr="00AA467A" w:rsidRDefault="00F92565" w:rsidP="00A162F0">
      <w:pPr>
        <w:pStyle w:val="ConsPlusNormal"/>
        <w:widowControl/>
        <w:spacing w:before="60" w:afterLines="60" w:after="14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A162F0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 </w:t>
      </w:r>
      <w:r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38) 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численность постоянного населения в 201</w:t>
      </w:r>
      <w:r w:rsidR="003051C0" w:rsidRPr="00AA46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составила 12</w:t>
      </w:r>
      <w:r w:rsidR="008557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051C0" w:rsidRPr="00AA467A">
        <w:rPr>
          <w:rFonts w:ascii="Times New Roman" w:hAnsi="Times New Roman" w:cs="Times New Roman"/>
          <w:color w:val="000000"/>
          <w:sz w:val="24"/>
          <w:szCs w:val="24"/>
        </w:rPr>
        <w:t>336</w:t>
      </w:r>
      <w:r w:rsidR="0085579A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="003051C0" w:rsidRPr="00AA46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отношению к 201</w:t>
      </w:r>
      <w:r w:rsidR="003051C0" w:rsidRPr="00AA46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3051C0" w:rsidRPr="00AA467A">
        <w:rPr>
          <w:rFonts w:ascii="Times New Roman" w:hAnsi="Times New Roman" w:cs="Times New Roman"/>
          <w:color w:val="000000"/>
          <w:sz w:val="24"/>
          <w:szCs w:val="24"/>
        </w:rPr>
        <w:t>снизилась на 23</w:t>
      </w:r>
      <w:r w:rsidR="00A162F0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за счет миграционной убыли населения. В прогнозном периоде ожидается улучшение данного </w:t>
      </w:r>
      <w:proofErr w:type="gramStart"/>
      <w:r w:rsidR="00A162F0" w:rsidRPr="00AA467A">
        <w:rPr>
          <w:rFonts w:ascii="Times New Roman" w:hAnsi="Times New Roman" w:cs="Times New Roman"/>
          <w:color w:val="000000"/>
          <w:sz w:val="24"/>
          <w:szCs w:val="24"/>
        </w:rPr>
        <w:t>показателя  за</w:t>
      </w:r>
      <w:proofErr w:type="gramEnd"/>
      <w:r w:rsidR="00A162F0" w:rsidRPr="00AA467A">
        <w:rPr>
          <w:rFonts w:ascii="Times New Roman" w:hAnsi="Times New Roman" w:cs="Times New Roman"/>
          <w:color w:val="000000"/>
          <w:sz w:val="24"/>
          <w:szCs w:val="24"/>
        </w:rPr>
        <w:t xml:space="preserve"> счет роста рождаемости.</w:t>
      </w:r>
    </w:p>
    <w:p w:rsidR="00790C0C" w:rsidRPr="00AA467A" w:rsidRDefault="0085579A" w:rsidP="0085579A">
      <w:pPr>
        <w:pStyle w:val="ConsPlusNormal"/>
        <w:widowControl/>
        <w:spacing w:before="60" w:afterLines="60" w:after="14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="00790C0C" w:rsidRPr="00AA46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Энергосбережение и повышение энергетической эффективности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b/>
          <w:bCs/>
          <w:kern w:val="1"/>
        </w:rPr>
        <w:t>(</w:t>
      </w:r>
      <w:r w:rsidR="00A162F0" w:rsidRPr="00AA467A">
        <w:rPr>
          <w:b/>
          <w:bCs/>
          <w:kern w:val="1"/>
        </w:rPr>
        <w:t>п.</w:t>
      </w:r>
      <w:r w:rsidRPr="00AA467A">
        <w:rPr>
          <w:b/>
          <w:bCs/>
          <w:kern w:val="1"/>
        </w:rPr>
        <w:t>39</w:t>
      </w:r>
      <w:proofErr w:type="gramStart"/>
      <w:r w:rsidRPr="00AA467A">
        <w:rPr>
          <w:b/>
          <w:bCs/>
          <w:kern w:val="1"/>
        </w:rPr>
        <w:t xml:space="preserve">) </w:t>
      </w:r>
      <w:r w:rsidRPr="00AA467A">
        <w:rPr>
          <w:kern w:val="1"/>
        </w:rPr>
        <w:t xml:space="preserve"> Удельная</w:t>
      </w:r>
      <w:proofErr w:type="gramEnd"/>
      <w:r w:rsidRPr="00AA467A">
        <w:rPr>
          <w:kern w:val="1"/>
        </w:rPr>
        <w:t xml:space="preserve"> величина потребления электрической энергии в многоквартирных домах в 2015 году составила 1510,000 кВт/ч на 1 проживающего, увеличившись по сравнению с 2014 г. на 3,056 кВт/ч (1 506,944 кВт/ч на 1 проживающего) увеличение связано с </w:t>
      </w:r>
      <w:r w:rsidR="000E0ED6" w:rsidRPr="00AA467A">
        <w:rPr>
          <w:kern w:val="1"/>
        </w:rPr>
        <w:t>ростом</w:t>
      </w:r>
      <w:r w:rsidRPr="00AA467A">
        <w:rPr>
          <w:kern w:val="1"/>
        </w:rPr>
        <w:t xml:space="preserve"> количества используемых бытовых электрических приборов и уменьшением количества людей, проживающих в МКД.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kern w:val="1"/>
        </w:rPr>
        <w:t>Величина потребления тепловой энергии в многоквартирных домах в 2015 году составила 0,199 Гкал на 1м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 xml:space="preserve"> общей площади, снижение по сравнению с 2014 г. на 0,014 Гкал (0,213 Гкал на 1 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>общей площади). Общая площадь многоквартирных домов составляет 2057,50 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 xml:space="preserve">. Уменьшение связано с относительно тёплом зимним периодом и заменой потребителями нагревательных приборов на наиболее </w:t>
      </w:r>
      <w:proofErr w:type="spellStart"/>
      <w:r w:rsidRPr="00AA467A">
        <w:rPr>
          <w:kern w:val="1"/>
        </w:rPr>
        <w:t>энергоэффективные</w:t>
      </w:r>
      <w:proofErr w:type="spellEnd"/>
      <w:r w:rsidRPr="00AA467A">
        <w:rPr>
          <w:kern w:val="1"/>
        </w:rPr>
        <w:t>.</w:t>
      </w:r>
      <w:r w:rsidR="000E0ED6" w:rsidRPr="00AA467A">
        <w:rPr>
          <w:kern w:val="1"/>
        </w:rPr>
        <w:t xml:space="preserve"> 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kern w:val="1"/>
        </w:rPr>
        <w:t>Величина потребления холодной воды в многоквартирных домах в 2015 году составила 24,017м</w:t>
      </w:r>
      <w:r w:rsidRPr="00AA467A">
        <w:rPr>
          <w:kern w:val="1"/>
          <w:vertAlign w:val="superscript"/>
        </w:rPr>
        <w:t>3</w:t>
      </w:r>
      <w:r w:rsidRPr="00AA467A">
        <w:rPr>
          <w:kern w:val="1"/>
        </w:rPr>
        <w:t xml:space="preserve"> на 1 проживающего, увеличившись по сравнению с 2014 г. (28,625 м</w:t>
      </w:r>
      <w:r w:rsidRPr="00AA467A">
        <w:rPr>
          <w:kern w:val="1"/>
          <w:vertAlign w:val="superscript"/>
        </w:rPr>
        <w:t xml:space="preserve">3 </w:t>
      </w:r>
      <w:r w:rsidRPr="00AA467A">
        <w:rPr>
          <w:kern w:val="1"/>
        </w:rPr>
        <w:t>на 1 проживающего) на 4,608 м</w:t>
      </w:r>
      <w:r w:rsidRPr="00AA467A">
        <w:rPr>
          <w:kern w:val="1"/>
          <w:vertAlign w:val="superscript"/>
        </w:rPr>
        <w:t xml:space="preserve">3 </w:t>
      </w:r>
      <w:r w:rsidRPr="00AA467A">
        <w:rPr>
          <w:kern w:val="1"/>
        </w:rPr>
        <w:t xml:space="preserve">на 1 </w:t>
      </w:r>
      <w:proofErr w:type="gramStart"/>
      <w:r w:rsidRPr="00AA467A">
        <w:rPr>
          <w:kern w:val="1"/>
        </w:rPr>
        <w:t>проживающего.,</w:t>
      </w:r>
      <w:proofErr w:type="gramEnd"/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  <w:u w:val="single"/>
        </w:rPr>
      </w:pPr>
      <w:r w:rsidRPr="00AA467A">
        <w:rPr>
          <w:kern w:val="1"/>
        </w:rPr>
        <w:t>Вследствие внедрения и реализации программы энергосбережения удельная величина потребления энергетических ресурсов не превышает норм потребления.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b/>
          <w:bCs/>
          <w:kern w:val="1"/>
        </w:rPr>
        <w:t>(</w:t>
      </w:r>
      <w:r w:rsidR="000E0ED6" w:rsidRPr="00AA467A">
        <w:rPr>
          <w:b/>
          <w:bCs/>
          <w:kern w:val="1"/>
        </w:rPr>
        <w:t>п.</w:t>
      </w:r>
      <w:r w:rsidRPr="00AA467A">
        <w:rPr>
          <w:b/>
          <w:bCs/>
          <w:kern w:val="1"/>
        </w:rPr>
        <w:t xml:space="preserve">40) </w:t>
      </w:r>
      <w:r w:rsidRPr="00AA467A">
        <w:rPr>
          <w:kern w:val="1"/>
        </w:rPr>
        <w:t>Удельная величина потребления электрической энергии муниципальными бюджетными учреждениями в 2015 году составила 64,755 кВт/ч на 1 чел., уменьшение по сравнению с 2014 г. (226,458 кВт/ч на 1 проживающего) на 161,703 кВт/ч на 1 проживающего. Существенное уменьшение произошло в первую очередь из-за передачи бюджетными учреждениями котельных по концессионным соглашениям в теплоснабжающую организацию.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kern w:val="1"/>
        </w:rPr>
        <w:t>Удельная величина потребления тепловой энергии муниципальными бюджетными учреждениями в 2015 г. составила 0,210 Гкал на 1м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 xml:space="preserve"> общей площади, снизившись по сравнению с 2014 г. (0,115 м</w:t>
      </w:r>
      <w:r w:rsidRPr="00AA467A">
        <w:rPr>
          <w:kern w:val="1"/>
          <w:vertAlign w:val="superscript"/>
        </w:rPr>
        <w:t xml:space="preserve">3 </w:t>
      </w:r>
      <w:r w:rsidRPr="00AA467A">
        <w:rPr>
          <w:kern w:val="1"/>
        </w:rPr>
        <w:t>на 1 проживающего) на 0,095 Гкал на 1м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 xml:space="preserve"> общей площади. Общая площадь муниципальных бюджетных учреждений составляет 26 624,4 м</w:t>
      </w:r>
      <w:r w:rsidRPr="00AA467A">
        <w:rPr>
          <w:kern w:val="1"/>
          <w:vertAlign w:val="superscript"/>
        </w:rPr>
        <w:t>2</w:t>
      </w:r>
      <w:r w:rsidRPr="00AA467A">
        <w:rPr>
          <w:kern w:val="1"/>
        </w:rPr>
        <w:t>.</w:t>
      </w:r>
      <w:r w:rsidR="000E0ED6" w:rsidRPr="00AA467A">
        <w:rPr>
          <w:kern w:val="1"/>
        </w:rPr>
        <w:t xml:space="preserve"> </w:t>
      </w:r>
      <w:r w:rsidRPr="00AA467A">
        <w:rPr>
          <w:kern w:val="1"/>
        </w:rPr>
        <w:t>Увеличение почти в 2 раза связано с передачей котельных по концессионному соглашению в теплоснабжающую организацию и началом отпуска тепловой энергии по приборам учета.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</w:rPr>
      </w:pPr>
      <w:r w:rsidRPr="00AA467A">
        <w:rPr>
          <w:kern w:val="1"/>
        </w:rPr>
        <w:t>Удельная величина потребления холодной воды муниципальными бюджетными учреждениями в 2015 году составила 1,252 м</w:t>
      </w:r>
      <w:r w:rsidRPr="00AA467A">
        <w:rPr>
          <w:kern w:val="1"/>
          <w:vertAlign w:val="superscript"/>
        </w:rPr>
        <w:t>3</w:t>
      </w:r>
      <w:r w:rsidRPr="00AA467A">
        <w:rPr>
          <w:kern w:val="1"/>
        </w:rPr>
        <w:t xml:space="preserve"> на 1 </w:t>
      </w:r>
      <w:proofErr w:type="gramStart"/>
      <w:r w:rsidRPr="00AA467A">
        <w:rPr>
          <w:kern w:val="1"/>
        </w:rPr>
        <w:t>чел</w:t>
      </w:r>
      <w:proofErr w:type="gramEnd"/>
      <w:r w:rsidRPr="00AA467A">
        <w:rPr>
          <w:kern w:val="1"/>
        </w:rPr>
        <w:t>, уменьшением по сравнению с 2014 г. (2,848 м</w:t>
      </w:r>
      <w:r w:rsidRPr="00AA467A">
        <w:rPr>
          <w:kern w:val="1"/>
          <w:vertAlign w:val="superscript"/>
        </w:rPr>
        <w:t>3</w:t>
      </w:r>
      <w:r w:rsidRPr="00AA467A">
        <w:rPr>
          <w:kern w:val="1"/>
        </w:rPr>
        <w:t xml:space="preserve"> на 1 проживающего) на 1,596 м</w:t>
      </w:r>
      <w:r w:rsidRPr="00AA467A">
        <w:rPr>
          <w:kern w:val="1"/>
          <w:vertAlign w:val="superscript"/>
        </w:rPr>
        <w:t xml:space="preserve">3 </w:t>
      </w:r>
      <w:r w:rsidRPr="00AA467A">
        <w:rPr>
          <w:kern w:val="1"/>
        </w:rPr>
        <w:t>на 1 проживающего. Уменьшение связано с установкой приборов учета потребления холодной воды, в следствии отпуск воды осуществляется по приборам</w:t>
      </w:r>
      <w:r w:rsidR="000E0ED6" w:rsidRPr="00AA467A">
        <w:rPr>
          <w:kern w:val="1"/>
        </w:rPr>
        <w:t>,</w:t>
      </w:r>
      <w:r w:rsidRPr="00AA467A">
        <w:rPr>
          <w:kern w:val="1"/>
        </w:rPr>
        <w:t xml:space="preserve"> а не по норме потребления.</w:t>
      </w:r>
    </w:p>
    <w:p w:rsidR="00790C0C" w:rsidRPr="00AA467A" w:rsidRDefault="00790C0C" w:rsidP="001F77AF">
      <w:pPr>
        <w:widowControl w:val="0"/>
        <w:suppressAutoHyphens/>
        <w:spacing w:before="60" w:afterLines="60" w:after="144"/>
        <w:ind w:firstLine="709"/>
        <w:jc w:val="both"/>
        <w:rPr>
          <w:kern w:val="1"/>
          <w:u w:val="single"/>
        </w:rPr>
      </w:pPr>
      <w:r w:rsidRPr="00AA467A">
        <w:rPr>
          <w:kern w:val="1"/>
        </w:rPr>
        <w:t>Вследствие внедрения и реализации программы энергосбережения удельная величина потребления энергетических ресурсов не превышает норм потребления.</w:t>
      </w:r>
    </w:p>
    <w:p w:rsidR="00F92565" w:rsidRPr="00AA467A" w:rsidRDefault="00F92565" w:rsidP="00D57C06">
      <w:pPr>
        <w:spacing w:before="60"/>
        <w:ind w:firstLine="720"/>
        <w:jc w:val="both"/>
      </w:pPr>
    </w:p>
    <w:p w:rsidR="00AA467A" w:rsidRPr="00AA467A" w:rsidRDefault="00AA467A">
      <w:pPr>
        <w:spacing w:before="60"/>
        <w:ind w:firstLine="720"/>
        <w:jc w:val="both"/>
      </w:pPr>
    </w:p>
    <w:sectPr w:rsidR="00AA467A" w:rsidRPr="00AA467A" w:rsidSect="00E55E4E">
      <w:headerReference w:type="default" r:id="rId8"/>
      <w:footerReference w:type="default" r:id="rId9"/>
      <w:pgSz w:w="11906" w:h="16838"/>
      <w:pgMar w:top="215" w:right="851" w:bottom="719" w:left="1418" w:header="16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85" w:rsidRDefault="00491E85" w:rsidP="004B73F8">
      <w:r>
        <w:separator/>
      </w:r>
    </w:p>
  </w:endnote>
  <w:endnote w:type="continuationSeparator" w:id="0">
    <w:p w:rsidR="00491E85" w:rsidRDefault="00491E85" w:rsidP="004B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85" w:rsidRDefault="00491E8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A79">
      <w:rPr>
        <w:noProof/>
      </w:rPr>
      <w:t>11</w:t>
    </w:r>
    <w:r>
      <w:rPr>
        <w:noProof/>
      </w:rPr>
      <w:fldChar w:fldCharType="end"/>
    </w:r>
  </w:p>
  <w:p w:rsidR="00491E85" w:rsidRDefault="00491E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85" w:rsidRDefault="00491E85" w:rsidP="004B73F8">
      <w:r>
        <w:separator/>
      </w:r>
    </w:p>
  </w:footnote>
  <w:footnote w:type="continuationSeparator" w:id="0">
    <w:p w:rsidR="00491E85" w:rsidRDefault="00491E85" w:rsidP="004B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85" w:rsidRPr="00E55E4E" w:rsidRDefault="00491E85" w:rsidP="00E55E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8D0"/>
    <w:multiLevelType w:val="hybridMultilevel"/>
    <w:tmpl w:val="D3DA10CA"/>
    <w:lvl w:ilvl="0" w:tplc="F6D29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27E1D"/>
    <w:multiLevelType w:val="hybridMultilevel"/>
    <w:tmpl w:val="003A1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D600A"/>
    <w:multiLevelType w:val="hybridMultilevel"/>
    <w:tmpl w:val="47F6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5239EB"/>
    <w:multiLevelType w:val="hybridMultilevel"/>
    <w:tmpl w:val="DA94F9C2"/>
    <w:lvl w:ilvl="0" w:tplc="F872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4780F"/>
    <w:multiLevelType w:val="hybridMultilevel"/>
    <w:tmpl w:val="54469D18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4052561A"/>
    <w:multiLevelType w:val="hybridMultilevel"/>
    <w:tmpl w:val="0E8A499C"/>
    <w:lvl w:ilvl="0" w:tplc="B89E2BC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E22555"/>
    <w:multiLevelType w:val="hybridMultilevel"/>
    <w:tmpl w:val="88B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27298"/>
    <w:multiLevelType w:val="hybridMultilevel"/>
    <w:tmpl w:val="BFD27D7A"/>
    <w:lvl w:ilvl="0" w:tplc="69401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077E9F"/>
    <w:multiLevelType w:val="hybridMultilevel"/>
    <w:tmpl w:val="FF54C22E"/>
    <w:lvl w:ilvl="0" w:tplc="E0420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22E2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2B4B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000B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9286F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F5056B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049F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E7C11C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86260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79B443EE"/>
    <w:multiLevelType w:val="hybridMultilevel"/>
    <w:tmpl w:val="879C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465F4"/>
    <w:multiLevelType w:val="hybridMultilevel"/>
    <w:tmpl w:val="79E8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51446"/>
    <w:multiLevelType w:val="hybridMultilevel"/>
    <w:tmpl w:val="897A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46"/>
    <w:rsid w:val="0000733D"/>
    <w:rsid w:val="00012028"/>
    <w:rsid w:val="00014197"/>
    <w:rsid w:val="00014569"/>
    <w:rsid w:val="0002395D"/>
    <w:rsid w:val="000239E8"/>
    <w:rsid w:val="00035ABA"/>
    <w:rsid w:val="00040770"/>
    <w:rsid w:val="00040A8C"/>
    <w:rsid w:val="000455A9"/>
    <w:rsid w:val="000529D4"/>
    <w:rsid w:val="000540E8"/>
    <w:rsid w:val="0006288F"/>
    <w:rsid w:val="000709B0"/>
    <w:rsid w:val="000768C9"/>
    <w:rsid w:val="00082A29"/>
    <w:rsid w:val="000833E9"/>
    <w:rsid w:val="00090F0B"/>
    <w:rsid w:val="00092D16"/>
    <w:rsid w:val="000A0D3F"/>
    <w:rsid w:val="000A5E1D"/>
    <w:rsid w:val="000B0D43"/>
    <w:rsid w:val="000B46BA"/>
    <w:rsid w:val="000C6E94"/>
    <w:rsid w:val="000D50F1"/>
    <w:rsid w:val="000D5714"/>
    <w:rsid w:val="000E0BC3"/>
    <w:rsid w:val="000E0ED6"/>
    <w:rsid w:val="000E2C11"/>
    <w:rsid w:val="000E639F"/>
    <w:rsid w:val="000F0199"/>
    <w:rsid w:val="00103B79"/>
    <w:rsid w:val="00104B0A"/>
    <w:rsid w:val="001059E6"/>
    <w:rsid w:val="0011026A"/>
    <w:rsid w:val="00113B1D"/>
    <w:rsid w:val="001154E3"/>
    <w:rsid w:val="00117A2D"/>
    <w:rsid w:val="00121137"/>
    <w:rsid w:val="00131BE8"/>
    <w:rsid w:val="00132E0A"/>
    <w:rsid w:val="00137A73"/>
    <w:rsid w:val="00137CAD"/>
    <w:rsid w:val="00141B30"/>
    <w:rsid w:val="00142742"/>
    <w:rsid w:val="0014620A"/>
    <w:rsid w:val="0015189B"/>
    <w:rsid w:val="00162259"/>
    <w:rsid w:val="001640EA"/>
    <w:rsid w:val="00175CD8"/>
    <w:rsid w:val="00176B4C"/>
    <w:rsid w:val="00185E2D"/>
    <w:rsid w:val="001969BF"/>
    <w:rsid w:val="001A2082"/>
    <w:rsid w:val="001A24E7"/>
    <w:rsid w:val="001A26A6"/>
    <w:rsid w:val="001B190F"/>
    <w:rsid w:val="001B50A2"/>
    <w:rsid w:val="001B6FAF"/>
    <w:rsid w:val="001C1A79"/>
    <w:rsid w:val="001C3D3B"/>
    <w:rsid w:val="001C5DEC"/>
    <w:rsid w:val="001C70FA"/>
    <w:rsid w:val="001D3B80"/>
    <w:rsid w:val="001D71D0"/>
    <w:rsid w:val="001D7E3B"/>
    <w:rsid w:val="001E280C"/>
    <w:rsid w:val="001E3C12"/>
    <w:rsid w:val="001F0CB1"/>
    <w:rsid w:val="001F1E85"/>
    <w:rsid w:val="001F465B"/>
    <w:rsid w:val="001F6ECE"/>
    <w:rsid w:val="001F77AF"/>
    <w:rsid w:val="001F7D58"/>
    <w:rsid w:val="002002A1"/>
    <w:rsid w:val="00204F92"/>
    <w:rsid w:val="00212CEE"/>
    <w:rsid w:val="00213784"/>
    <w:rsid w:val="00224018"/>
    <w:rsid w:val="002259E5"/>
    <w:rsid w:val="00235BD9"/>
    <w:rsid w:val="002374E6"/>
    <w:rsid w:val="00253661"/>
    <w:rsid w:val="00254A05"/>
    <w:rsid w:val="00260407"/>
    <w:rsid w:val="002655F7"/>
    <w:rsid w:val="00265B8B"/>
    <w:rsid w:val="00265BFF"/>
    <w:rsid w:val="00266C14"/>
    <w:rsid w:val="00283456"/>
    <w:rsid w:val="00284743"/>
    <w:rsid w:val="00287D86"/>
    <w:rsid w:val="002979A2"/>
    <w:rsid w:val="00297C52"/>
    <w:rsid w:val="002B0E40"/>
    <w:rsid w:val="002B2579"/>
    <w:rsid w:val="002C1DD0"/>
    <w:rsid w:val="002D1B32"/>
    <w:rsid w:val="002E1882"/>
    <w:rsid w:val="002E1A15"/>
    <w:rsid w:val="002E33EC"/>
    <w:rsid w:val="002E3531"/>
    <w:rsid w:val="002E628B"/>
    <w:rsid w:val="00301F65"/>
    <w:rsid w:val="003023F2"/>
    <w:rsid w:val="00303F82"/>
    <w:rsid w:val="003051C0"/>
    <w:rsid w:val="003052F4"/>
    <w:rsid w:val="00311844"/>
    <w:rsid w:val="003125EA"/>
    <w:rsid w:val="003146E8"/>
    <w:rsid w:val="00315096"/>
    <w:rsid w:val="00322888"/>
    <w:rsid w:val="00323E90"/>
    <w:rsid w:val="003313B2"/>
    <w:rsid w:val="00341C40"/>
    <w:rsid w:val="003446C5"/>
    <w:rsid w:val="003524DD"/>
    <w:rsid w:val="003658F3"/>
    <w:rsid w:val="003661A1"/>
    <w:rsid w:val="00366CC6"/>
    <w:rsid w:val="0037556C"/>
    <w:rsid w:val="00376FE3"/>
    <w:rsid w:val="0038036C"/>
    <w:rsid w:val="00380EB9"/>
    <w:rsid w:val="00381015"/>
    <w:rsid w:val="00383D27"/>
    <w:rsid w:val="00387A7B"/>
    <w:rsid w:val="00392361"/>
    <w:rsid w:val="003A5A05"/>
    <w:rsid w:val="003A634D"/>
    <w:rsid w:val="003B3FBC"/>
    <w:rsid w:val="003C1186"/>
    <w:rsid w:val="003D25D8"/>
    <w:rsid w:val="003D4B3C"/>
    <w:rsid w:val="003E2AAF"/>
    <w:rsid w:val="003E469F"/>
    <w:rsid w:val="003E75CE"/>
    <w:rsid w:val="00400E2D"/>
    <w:rsid w:val="004012E1"/>
    <w:rsid w:val="00401860"/>
    <w:rsid w:val="00415287"/>
    <w:rsid w:val="004200A1"/>
    <w:rsid w:val="0042210F"/>
    <w:rsid w:val="00425530"/>
    <w:rsid w:val="00427B81"/>
    <w:rsid w:val="004420CD"/>
    <w:rsid w:val="00443B45"/>
    <w:rsid w:val="00447139"/>
    <w:rsid w:val="00447A29"/>
    <w:rsid w:val="00451122"/>
    <w:rsid w:val="0045278E"/>
    <w:rsid w:val="004537EA"/>
    <w:rsid w:val="00454733"/>
    <w:rsid w:val="0045517A"/>
    <w:rsid w:val="00456719"/>
    <w:rsid w:val="004617A2"/>
    <w:rsid w:val="00461A01"/>
    <w:rsid w:val="004636C4"/>
    <w:rsid w:val="00464221"/>
    <w:rsid w:val="00480004"/>
    <w:rsid w:val="004809F7"/>
    <w:rsid w:val="00480AA1"/>
    <w:rsid w:val="00482188"/>
    <w:rsid w:val="00486545"/>
    <w:rsid w:val="0049137F"/>
    <w:rsid w:val="00491E85"/>
    <w:rsid w:val="00497393"/>
    <w:rsid w:val="00497A4B"/>
    <w:rsid w:val="004A0424"/>
    <w:rsid w:val="004B1085"/>
    <w:rsid w:val="004B73F8"/>
    <w:rsid w:val="004C20A5"/>
    <w:rsid w:val="004C3C20"/>
    <w:rsid w:val="004D3193"/>
    <w:rsid w:val="004E75E2"/>
    <w:rsid w:val="004F0C0E"/>
    <w:rsid w:val="004F5F01"/>
    <w:rsid w:val="00502842"/>
    <w:rsid w:val="005048E9"/>
    <w:rsid w:val="00505EC7"/>
    <w:rsid w:val="00511F18"/>
    <w:rsid w:val="0051240F"/>
    <w:rsid w:val="00514E5F"/>
    <w:rsid w:val="005153A1"/>
    <w:rsid w:val="00516930"/>
    <w:rsid w:val="00516DCC"/>
    <w:rsid w:val="005202BF"/>
    <w:rsid w:val="00521EB3"/>
    <w:rsid w:val="00526713"/>
    <w:rsid w:val="00532689"/>
    <w:rsid w:val="005367DF"/>
    <w:rsid w:val="005373D9"/>
    <w:rsid w:val="005470EF"/>
    <w:rsid w:val="00547AB4"/>
    <w:rsid w:val="005524DD"/>
    <w:rsid w:val="00555E28"/>
    <w:rsid w:val="00562B02"/>
    <w:rsid w:val="005675AB"/>
    <w:rsid w:val="005745C9"/>
    <w:rsid w:val="00576050"/>
    <w:rsid w:val="0058209D"/>
    <w:rsid w:val="00593E47"/>
    <w:rsid w:val="005A1909"/>
    <w:rsid w:val="005A2235"/>
    <w:rsid w:val="005B252E"/>
    <w:rsid w:val="005B2B58"/>
    <w:rsid w:val="005B7EDB"/>
    <w:rsid w:val="005C090C"/>
    <w:rsid w:val="005C25EE"/>
    <w:rsid w:val="005C7865"/>
    <w:rsid w:val="005D1198"/>
    <w:rsid w:val="005D1D2D"/>
    <w:rsid w:val="005D6C19"/>
    <w:rsid w:val="005E001A"/>
    <w:rsid w:val="005E1483"/>
    <w:rsid w:val="005E619C"/>
    <w:rsid w:val="005E7175"/>
    <w:rsid w:val="005F20DA"/>
    <w:rsid w:val="005F29BD"/>
    <w:rsid w:val="005F2F6F"/>
    <w:rsid w:val="005F5DAD"/>
    <w:rsid w:val="006002FE"/>
    <w:rsid w:val="00604D21"/>
    <w:rsid w:val="00606857"/>
    <w:rsid w:val="00606F13"/>
    <w:rsid w:val="0061030F"/>
    <w:rsid w:val="00613629"/>
    <w:rsid w:val="00613917"/>
    <w:rsid w:val="00621273"/>
    <w:rsid w:val="0062318C"/>
    <w:rsid w:val="00625CDA"/>
    <w:rsid w:val="006302BE"/>
    <w:rsid w:val="00645F65"/>
    <w:rsid w:val="0065124B"/>
    <w:rsid w:val="00654AAE"/>
    <w:rsid w:val="0065752F"/>
    <w:rsid w:val="00663F40"/>
    <w:rsid w:val="00670B3E"/>
    <w:rsid w:val="00674EEA"/>
    <w:rsid w:val="00681893"/>
    <w:rsid w:val="00681976"/>
    <w:rsid w:val="00686A86"/>
    <w:rsid w:val="00692500"/>
    <w:rsid w:val="00694BAE"/>
    <w:rsid w:val="00695185"/>
    <w:rsid w:val="006A7FC0"/>
    <w:rsid w:val="006B1998"/>
    <w:rsid w:val="006B20B0"/>
    <w:rsid w:val="006B48C7"/>
    <w:rsid w:val="006B682B"/>
    <w:rsid w:val="006C1D65"/>
    <w:rsid w:val="006C1F8B"/>
    <w:rsid w:val="006C7501"/>
    <w:rsid w:val="006D0C0F"/>
    <w:rsid w:val="006D372E"/>
    <w:rsid w:val="006D5885"/>
    <w:rsid w:val="006E3136"/>
    <w:rsid w:val="006E7CEE"/>
    <w:rsid w:val="006F3BE3"/>
    <w:rsid w:val="006F689C"/>
    <w:rsid w:val="00701315"/>
    <w:rsid w:val="0070375D"/>
    <w:rsid w:val="00703F79"/>
    <w:rsid w:val="00705B0C"/>
    <w:rsid w:val="00706AE9"/>
    <w:rsid w:val="007115CD"/>
    <w:rsid w:val="00716706"/>
    <w:rsid w:val="00716E5C"/>
    <w:rsid w:val="0071791C"/>
    <w:rsid w:val="0072303A"/>
    <w:rsid w:val="00730170"/>
    <w:rsid w:val="00730388"/>
    <w:rsid w:val="00735B9C"/>
    <w:rsid w:val="00737BF0"/>
    <w:rsid w:val="00745227"/>
    <w:rsid w:val="007526DE"/>
    <w:rsid w:val="0075450E"/>
    <w:rsid w:val="0075673D"/>
    <w:rsid w:val="0076358C"/>
    <w:rsid w:val="00765448"/>
    <w:rsid w:val="007662E1"/>
    <w:rsid w:val="007677BA"/>
    <w:rsid w:val="00775442"/>
    <w:rsid w:val="00780309"/>
    <w:rsid w:val="00782B0B"/>
    <w:rsid w:val="007831AC"/>
    <w:rsid w:val="00790C0C"/>
    <w:rsid w:val="00795757"/>
    <w:rsid w:val="00796D3E"/>
    <w:rsid w:val="007A07DA"/>
    <w:rsid w:val="007A7BE3"/>
    <w:rsid w:val="007B3AD3"/>
    <w:rsid w:val="007B589E"/>
    <w:rsid w:val="007C0005"/>
    <w:rsid w:val="007C3451"/>
    <w:rsid w:val="007C5AB9"/>
    <w:rsid w:val="007C5FF8"/>
    <w:rsid w:val="007D6907"/>
    <w:rsid w:val="007E4FA1"/>
    <w:rsid w:val="007F48D3"/>
    <w:rsid w:val="007F6B9E"/>
    <w:rsid w:val="0080006E"/>
    <w:rsid w:val="00802E23"/>
    <w:rsid w:val="00804CF1"/>
    <w:rsid w:val="0080540F"/>
    <w:rsid w:val="008073F1"/>
    <w:rsid w:val="008108A0"/>
    <w:rsid w:val="00810C89"/>
    <w:rsid w:val="00811CB8"/>
    <w:rsid w:val="008171F3"/>
    <w:rsid w:val="0081790D"/>
    <w:rsid w:val="0082664B"/>
    <w:rsid w:val="00835AED"/>
    <w:rsid w:val="00837253"/>
    <w:rsid w:val="00841C12"/>
    <w:rsid w:val="0085579A"/>
    <w:rsid w:val="00866D87"/>
    <w:rsid w:val="00867D30"/>
    <w:rsid w:val="008748E4"/>
    <w:rsid w:val="008813E3"/>
    <w:rsid w:val="008818E3"/>
    <w:rsid w:val="00882182"/>
    <w:rsid w:val="0088499D"/>
    <w:rsid w:val="00887FE8"/>
    <w:rsid w:val="0089084E"/>
    <w:rsid w:val="0089521A"/>
    <w:rsid w:val="008A0D75"/>
    <w:rsid w:val="008B0454"/>
    <w:rsid w:val="008C2D3D"/>
    <w:rsid w:val="008C3268"/>
    <w:rsid w:val="008C4F08"/>
    <w:rsid w:val="008D3BD7"/>
    <w:rsid w:val="008D594E"/>
    <w:rsid w:val="008D6E53"/>
    <w:rsid w:val="008E2422"/>
    <w:rsid w:val="008E2F78"/>
    <w:rsid w:val="008E770B"/>
    <w:rsid w:val="008F069F"/>
    <w:rsid w:val="008F1682"/>
    <w:rsid w:val="008F183D"/>
    <w:rsid w:val="008F300F"/>
    <w:rsid w:val="008F5A1F"/>
    <w:rsid w:val="00904163"/>
    <w:rsid w:val="0090463E"/>
    <w:rsid w:val="00916564"/>
    <w:rsid w:val="00922B3D"/>
    <w:rsid w:val="00926B1F"/>
    <w:rsid w:val="009308B1"/>
    <w:rsid w:val="00931D0F"/>
    <w:rsid w:val="009356B4"/>
    <w:rsid w:val="00935F7D"/>
    <w:rsid w:val="00937DD4"/>
    <w:rsid w:val="00940975"/>
    <w:rsid w:val="0094254E"/>
    <w:rsid w:val="00947816"/>
    <w:rsid w:val="00947B46"/>
    <w:rsid w:val="009568DB"/>
    <w:rsid w:val="009660C1"/>
    <w:rsid w:val="009679DC"/>
    <w:rsid w:val="00970C5D"/>
    <w:rsid w:val="00972DA2"/>
    <w:rsid w:val="0098297D"/>
    <w:rsid w:val="00984B02"/>
    <w:rsid w:val="00994422"/>
    <w:rsid w:val="009B27F3"/>
    <w:rsid w:val="009B3C5D"/>
    <w:rsid w:val="009C0017"/>
    <w:rsid w:val="009C0376"/>
    <w:rsid w:val="009C5272"/>
    <w:rsid w:val="009C6334"/>
    <w:rsid w:val="009D3487"/>
    <w:rsid w:val="009D4473"/>
    <w:rsid w:val="009E05F5"/>
    <w:rsid w:val="009E3F7F"/>
    <w:rsid w:val="009F422B"/>
    <w:rsid w:val="00A06197"/>
    <w:rsid w:val="00A075BA"/>
    <w:rsid w:val="00A108E4"/>
    <w:rsid w:val="00A11E2D"/>
    <w:rsid w:val="00A15AF1"/>
    <w:rsid w:val="00A162F0"/>
    <w:rsid w:val="00A175E8"/>
    <w:rsid w:val="00A33621"/>
    <w:rsid w:val="00A34728"/>
    <w:rsid w:val="00A3508D"/>
    <w:rsid w:val="00A379C7"/>
    <w:rsid w:val="00A414B0"/>
    <w:rsid w:val="00A4330F"/>
    <w:rsid w:val="00A4701F"/>
    <w:rsid w:val="00A47B78"/>
    <w:rsid w:val="00A505A9"/>
    <w:rsid w:val="00A534DE"/>
    <w:rsid w:val="00A55094"/>
    <w:rsid w:val="00A552A6"/>
    <w:rsid w:val="00A646BC"/>
    <w:rsid w:val="00A80452"/>
    <w:rsid w:val="00A84FB1"/>
    <w:rsid w:val="00A909CE"/>
    <w:rsid w:val="00A97D1C"/>
    <w:rsid w:val="00AA0C5E"/>
    <w:rsid w:val="00AA1491"/>
    <w:rsid w:val="00AA159D"/>
    <w:rsid w:val="00AA467A"/>
    <w:rsid w:val="00AA5AE7"/>
    <w:rsid w:val="00AA766D"/>
    <w:rsid w:val="00AA78B6"/>
    <w:rsid w:val="00AA7DC1"/>
    <w:rsid w:val="00AB7665"/>
    <w:rsid w:val="00AC00D5"/>
    <w:rsid w:val="00AD027F"/>
    <w:rsid w:val="00AE75D6"/>
    <w:rsid w:val="00AE7E82"/>
    <w:rsid w:val="00AF26DD"/>
    <w:rsid w:val="00AF3311"/>
    <w:rsid w:val="00AF4AD6"/>
    <w:rsid w:val="00B129A2"/>
    <w:rsid w:val="00B16B14"/>
    <w:rsid w:val="00B17EDC"/>
    <w:rsid w:val="00B23799"/>
    <w:rsid w:val="00B30D53"/>
    <w:rsid w:val="00B3273D"/>
    <w:rsid w:val="00B35937"/>
    <w:rsid w:val="00B40FD7"/>
    <w:rsid w:val="00B41099"/>
    <w:rsid w:val="00B45147"/>
    <w:rsid w:val="00B45694"/>
    <w:rsid w:val="00B459BE"/>
    <w:rsid w:val="00B462F8"/>
    <w:rsid w:val="00B743EF"/>
    <w:rsid w:val="00B74B6E"/>
    <w:rsid w:val="00B760E4"/>
    <w:rsid w:val="00B832EB"/>
    <w:rsid w:val="00B83CF9"/>
    <w:rsid w:val="00B86EF2"/>
    <w:rsid w:val="00B969BA"/>
    <w:rsid w:val="00B977FE"/>
    <w:rsid w:val="00BA0BEE"/>
    <w:rsid w:val="00BA4014"/>
    <w:rsid w:val="00BB1781"/>
    <w:rsid w:val="00BB66B4"/>
    <w:rsid w:val="00BC5F3C"/>
    <w:rsid w:val="00BD51C9"/>
    <w:rsid w:val="00BD5E91"/>
    <w:rsid w:val="00BE647B"/>
    <w:rsid w:val="00BF0CEA"/>
    <w:rsid w:val="00BF18B9"/>
    <w:rsid w:val="00BF5272"/>
    <w:rsid w:val="00BF5F7C"/>
    <w:rsid w:val="00BF6B50"/>
    <w:rsid w:val="00C014E9"/>
    <w:rsid w:val="00C0360B"/>
    <w:rsid w:val="00C07DA7"/>
    <w:rsid w:val="00C10BA6"/>
    <w:rsid w:val="00C1326F"/>
    <w:rsid w:val="00C15156"/>
    <w:rsid w:val="00C1660E"/>
    <w:rsid w:val="00C218A5"/>
    <w:rsid w:val="00C2709A"/>
    <w:rsid w:val="00C33CA8"/>
    <w:rsid w:val="00C645E2"/>
    <w:rsid w:val="00C70357"/>
    <w:rsid w:val="00C8679E"/>
    <w:rsid w:val="00C93E70"/>
    <w:rsid w:val="00C95BDE"/>
    <w:rsid w:val="00C9797E"/>
    <w:rsid w:val="00CA22D8"/>
    <w:rsid w:val="00CA28AA"/>
    <w:rsid w:val="00CA7E72"/>
    <w:rsid w:val="00CB0FA9"/>
    <w:rsid w:val="00CC09A4"/>
    <w:rsid w:val="00CC3E28"/>
    <w:rsid w:val="00CC6A3B"/>
    <w:rsid w:val="00CC6F81"/>
    <w:rsid w:val="00CD48CF"/>
    <w:rsid w:val="00CE7B25"/>
    <w:rsid w:val="00CF372F"/>
    <w:rsid w:val="00D053FC"/>
    <w:rsid w:val="00D0785C"/>
    <w:rsid w:val="00D265B9"/>
    <w:rsid w:val="00D42E3B"/>
    <w:rsid w:val="00D45999"/>
    <w:rsid w:val="00D46737"/>
    <w:rsid w:val="00D51B2D"/>
    <w:rsid w:val="00D57565"/>
    <w:rsid w:val="00D57C06"/>
    <w:rsid w:val="00D6075A"/>
    <w:rsid w:val="00D61C5D"/>
    <w:rsid w:val="00D66CB0"/>
    <w:rsid w:val="00D76494"/>
    <w:rsid w:val="00D8121E"/>
    <w:rsid w:val="00D815D9"/>
    <w:rsid w:val="00D8576E"/>
    <w:rsid w:val="00D871CA"/>
    <w:rsid w:val="00D90CD9"/>
    <w:rsid w:val="00D97504"/>
    <w:rsid w:val="00DA160D"/>
    <w:rsid w:val="00DA3221"/>
    <w:rsid w:val="00DB424B"/>
    <w:rsid w:val="00DB7C49"/>
    <w:rsid w:val="00DC30ED"/>
    <w:rsid w:val="00DD0D21"/>
    <w:rsid w:val="00DD229D"/>
    <w:rsid w:val="00DD6C46"/>
    <w:rsid w:val="00DE6BFA"/>
    <w:rsid w:val="00DF5D74"/>
    <w:rsid w:val="00DF680D"/>
    <w:rsid w:val="00DF68E8"/>
    <w:rsid w:val="00DF693F"/>
    <w:rsid w:val="00E014E2"/>
    <w:rsid w:val="00E13027"/>
    <w:rsid w:val="00E1330D"/>
    <w:rsid w:val="00E14AA8"/>
    <w:rsid w:val="00E2730E"/>
    <w:rsid w:val="00E31048"/>
    <w:rsid w:val="00E41ECE"/>
    <w:rsid w:val="00E46FEB"/>
    <w:rsid w:val="00E55E4E"/>
    <w:rsid w:val="00E64A40"/>
    <w:rsid w:val="00E66CED"/>
    <w:rsid w:val="00E6760E"/>
    <w:rsid w:val="00E72C87"/>
    <w:rsid w:val="00E740DF"/>
    <w:rsid w:val="00E75E5D"/>
    <w:rsid w:val="00E803F6"/>
    <w:rsid w:val="00E97EC9"/>
    <w:rsid w:val="00EA071E"/>
    <w:rsid w:val="00EB13D7"/>
    <w:rsid w:val="00EB56F5"/>
    <w:rsid w:val="00EC028C"/>
    <w:rsid w:val="00EC20DB"/>
    <w:rsid w:val="00EC2B9D"/>
    <w:rsid w:val="00EC5DFD"/>
    <w:rsid w:val="00ED7158"/>
    <w:rsid w:val="00EE0EE8"/>
    <w:rsid w:val="00EE27AE"/>
    <w:rsid w:val="00EE2B43"/>
    <w:rsid w:val="00EF071B"/>
    <w:rsid w:val="00F01353"/>
    <w:rsid w:val="00F03EDE"/>
    <w:rsid w:val="00F0603D"/>
    <w:rsid w:val="00F2048E"/>
    <w:rsid w:val="00F24CEE"/>
    <w:rsid w:val="00F31E15"/>
    <w:rsid w:val="00F330EF"/>
    <w:rsid w:val="00F377D4"/>
    <w:rsid w:val="00F40D0C"/>
    <w:rsid w:val="00F413FA"/>
    <w:rsid w:val="00F41CDC"/>
    <w:rsid w:val="00F511B3"/>
    <w:rsid w:val="00F55B8B"/>
    <w:rsid w:val="00F56E61"/>
    <w:rsid w:val="00F608EE"/>
    <w:rsid w:val="00F61019"/>
    <w:rsid w:val="00F626BA"/>
    <w:rsid w:val="00F66B72"/>
    <w:rsid w:val="00F729F6"/>
    <w:rsid w:val="00F74ADA"/>
    <w:rsid w:val="00F75BD7"/>
    <w:rsid w:val="00F83C08"/>
    <w:rsid w:val="00F92565"/>
    <w:rsid w:val="00F929CD"/>
    <w:rsid w:val="00FA3C25"/>
    <w:rsid w:val="00FB1598"/>
    <w:rsid w:val="00FB1908"/>
    <w:rsid w:val="00FB5609"/>
    <w:rsid w:val="00FC0C03"/>
    <w:rsid w:val="00FC19D7"/>
    <w:rsid w:val="00FC1F19"/>
    <w:rsid w:val="00FC7FAA"/>
    <w:rsid w:val="00FD2C34"/>
    <w:rsid w:val="00FD5BA3"/>
    <w:rsid w:val="00FE52D5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95A1D-E0DA-406C-AEBE-B6281B17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B46"/>
    <w:pPr>
      <w:keepNext/>
      <w:spacing w:after="240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37BF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7B46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737BF0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947B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7B4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947B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uiPriority w:val="99"/>
    <w:rsid w:val="00D76494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D76494"/>
    <w:rPr>
      <w:sz w:val="24"/>
      <w:szCs w:val="24"/>
    </w:rPr>
  </w:style>
  <w:style w:type="paragraph" w:customStyle="1" w:styleId="a6">
    <w:name w:val="Стиль"/>
    <w:uiPriority w:val="99"/>
    <w:rsid w:val="00D764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No Spacing"/>
    <w:link w:val="a8"/>
    <w:uiPriority w:val="99"/>
    <w:qFormat/>
    <w:rsid w:val="00D76494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92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35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6358C"/>
    <w:rPr>
      <w:sz w:val="16"/>
      <w:szCs w:val="16"/>
    </w:rPr>
  </w:style>
  <w:style w:type="paragraph" w:styleId="aa">
    <w:name w:val="List Paragraph"/>
    <w:basedOn w:val="a"/>
    <w:uiPriority w:val="99"/>
    <w:qFormat/>
    <w:rsid w:val="00CF372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customStyle="1" w:styleId="WW-3">
    <w:name w:val="WW-Основной текст с отступом 3"/>
    <w:basedOn w:val="a"/>
    <w:uiPriority w:val="99"/>
    <w:rsid w:val="00CF372F"/>
    <w:pPr>
      <w:suppressAutoHyphens/>
      <w:overflowPunct w:val="0"/>
      <w:autoSpaceDE w:val="0"/>
      <w:ind w:firstLine="709"/>
      <w:jc w:val="both"/>
      <w:textAlignment w:val="baseline"/>
    </w:pPr>
    <w:rPr>
      <w:color w:val="000000"/>
      <w:sz w:val="28"/>
      <w:szCs w:val="28"/>
      <w:lang w:eastAsia="ar-SA"/>
    </w:rPr>
  </w:style>
  <w:style w:type="paragraph" w:customStyle="1" w:styleId="FR3">
    <w:name w:val="FR3"/>
    <w:link w:val="FR30"/>
    <w:uiPriority w:val="99"/>
    <w:rsid w:val="004537EA"/>
    <w:pPr>
      <w:widowControl w:val="0"/>
      <w:spacing w:line="280" w:lineRule="auto"/>
      <w:ind w:left="80"/>
    </w:pPr>
    <w:rPr>
      <w:rFonts w:ascii="Arial" w:hAnsi="Arial" w:cs="Arial"/>
      <w:b/>
      <w:bCs/>
    </w:rPr>
  </w:style>
  <w:style w:type="character" w:customStyle="1" w:styleId="FR30">
    <w:name w:val="FR3 Знак"/>
    <w:link w:val="FR3"/>
    <w:uiPriority w:val="99"/>
    <w:locked/>
    <w:rsid w:val="004537EA"/>
    <w:rPr>
      <w:rFonts w:ascii="Arial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881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caption"/>
    <w:basedOn w:val="a"/>
    <w:uiPriority w:val="99"/>
    <w:qFormat/>
    <w:rsid w:val="00737BF0"/>
    <w:pPr>
      <w:jc w:val="center"/>
    </w:pPr>
    <w:rPr>
      <w:b/>
      <w:bCs/>
      <w:u w:val="single"/>
    </w:rPr>
  </w:style>
  <w:style w:type="paragraph" w:styleId="ac">
    <w:name w:val="header"/>
    <w:basedOn w:val="a"/>
    <w:link w:val="ad"/>
    <w:uiPriority w:val="99"/>
    <w:rsid w:val="004B73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4B73F8"/>
    <w:rPr>
      <w:sz w:val="24"/>
      <w:szCs w:val="24"/>
    </w:rPr>
  </w:style>
  <w:style w:type="paragraph" w:styleId="ae">
    <w:name w:val="footer"/>
    <w:basedOn w:val="a"/>
    <w:link w:val="af"/>
    <w:uiPriority w:val="99"/>
    <w:rsid w:val="004B73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B73F8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3810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8101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locked/>
    <w:rsid w:val="00FA3C25"/>
    <w:rPr>
      <w:rFonts w:ascii="Calibri" w:hAnsi="Calibri" w:cs="Calibri"/>
      <w:sz w:val="22"/>
      <w:szCs w:val="22"/>
      <w:lang w:eastAsia="en-US"/>
    </w:rPr>
  </w:style>
  <w:style w:type="character" w:customStyle="1" w:styleId="FontStyle299">
    <w:name w:val="Font Style299"/>
    <w:uiPriority w:val="99"/>
    <w:rsid w:val="004D3193"/>
    <w:rPr>
      <w:rFonts w:ascii="Times New Roman" w:hAnsi="Times New Roman" w:cs="Times New Roman"/>
      <w:sz w:val="24"/>
      <w:szCs w:val="24"/>
    </w:rPr>
  </w:style>
  <w:style w:type="paragraph" w:customStyle="1" w:styleId="Style129">
    <w:name w:val="Style129"/>
    <w:basedOn w:val="a"/>
    <w:uiPriority w:val="99"/>
    <w:rsid w:val="004D3193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paragraph" w:customStyle="1" w:styleId="Style161">
    <w:name w:val="Style161"/>
    <w:basedOn w:val="a"/>
    <w:uiPriority w:val="99"/>
    <w:rsid w:val="004D3193"/>
    <w:pPr>
      <w:widowControl w:val="0"/>
      <w:autoSpaceDE w:val="0"/>
      <w:autoSpaceDN w:val="0"/>
      <w:adjustRightInd w:val="0"/>
    </w:pPr>
  </w:style>
  <w:style w:type="paragraph" w:customStyle="1" w:styleId="Style176">
    <w:name w:val="Style176"/>
    <w:basedOn w:val="a"/>
    <w:uiPriority w:val="99"/>
    <w:rsid w:val="004D3193"/>
    <w:pPr>
      <w:widowControl w:val="0"/>
      <w:autoSpaceDE w:val="0"/>
      <w:autoSpaceDN w:val="0"/>
      <w:adjustRightInd w:val="0"/>
      <w:spacing w:line="302" w:lineRule="exact"/>
      <w:ind w:firstLine="672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10DD-D5E9-4979-8072-7657AF26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4624</Words>
  <Characters>29801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Доклада главы</vt:lpstr>
    </vt:vector>
  </TitlesOfParts>
  <Company>Минэкономразвития РА</Company>
  <LinksUpToDate>false</LinksUpToDate>
  <CharactersWithSpaces>34357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Доклада главы</dc:title>
  <dc:creator>user</dc:creator>
  <cp:lastModifiedBy>Баканова</cp:lastModifiedBy>
  <cp:revision>10</cp:revision>
  <cp:lastPrinted>2015-05-29T10:44:00Z</cp:lastPrinted>
  <dcterms:created xsi:type="dcterms:W3CDTF">2016-04-29T06:04:00Z</dcterms:created>
  <dcterms:modified xsi:type="dcterms:W3CDTF">2016-04-29T07:42:00Z</dcterms:modified>
</cp:coreProperties>
</file>